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before="624" w:beforeLines="200" w:after="624" w:afterLines="200" w:line="240" w:lineRule="atLeast"/>
        <w:jc w:val="center"/>
      </w:pPr>
    </w:p>
    <w:p>
      <w:pPr>
        <w:widowControl/>
        <w:adjustRightInd w:val="0"/>
        <w:snapToGrid w:val="0"/>
        <w:spacing w:before="624" w:beforeLines="200" w:after="624" w:afterLines="200" w:line="240" w:lineRule="atLeast"/>
        <w:jc w:val="center"/>
        <w:rPr>
          <w:rFonts w:ascii="黑体" w:hAnsi="黑体" w:eastAsia="黑体" w:cs="Calibri"/>
          <w:b/>
          <w:spacing w:val="-20"/>
          <w:kern w:val="0"/>
          <w:sz w:val="52"/>
          <w:szCs w:val="52"/>
        </w:rPr>
      </w:pPr>
      <w:r>
        <w:drawing>
          <wp:inline distT="0" distB="0" distL="114300" distR="114300">
            <wp:extent cx="2066290" cy="2060575"/>
            <wp:effectExtent l="0" t="0" r="10160" b="15875"/>
            <wp:docPr id="236" name="图片 1" descr="微信截图_20200204132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图片 1" descr="微信截图_20200204132258"/>
                    <pic:cNvPicPr>
                      <a:picLocks noChangeAspect="1"/>
                    </pic:cNvPicPr>
                  </pic:nvPicPr>
                  <pic:blipFill>
                    <a:blip r:embed="rId9"/>
                    <a:stretch>
                      <a:fillRect/>
                    </a:stretch>
                  </pic:blipFill>
                  <pic:spPr>
                    <a:xfrm>
                      <a:off x="0" y="0"/>
                      <a:ext cx="2066290" cy="2060575"/>
                    </a:xfrm>
                    <a:prstGeom prst="rect">
                      <a:avLst/>
                    </a:prstGeom>
                    <a:noFill/>
                    <a:ln>
                      <a:noFill/>
                    </a:ln>
                  </pic:spPr>
                </pic:pic>
              </a:graphicData>
            </a:graphic>
          </wp:inline>
        </w:drawing>
      </w:r>
    </w:p>
    <w:p>
      <w:pPr>
        <w:widowControl/>
        <w:adjustRightInd w:val="0"/>
        <w:snapToGrid w:val="0"/>
        <w:spacing w:before="624" w:beforeLines="200" w:after="624" w:afterLines="200" w:line="240" w:lineRule="atLeast"/>
        <w:jc w:val="center"/>
        <w:rPr>
          <w:rFonts w:ascii="黑体" w:hAnsi="黑体" w:eastAsia="黑体" w:cs="Calibri"/>
          <w:b/>
          <w:spacing w:val="-20"/>
          <w:kern w:val="0"/>
          <w:sz w:val="52"/>
          <w:szCs w:val="52"/>
        </w:rPr>
      </w:pPr>
      <w:r>
        <w:rPr>
          <w:rFonts w:hint="eastAsia" w:ascii="黑体" w:hAnsi="黑体" w:eastAsia="黑体" w:cs="Calibri"/>
          <w:b/>
          <w:spacing w:val="-20"/>
          <w:kern w:val="0"/>
          <w:sz w:val="52"/>
          <w:szCs w:val="52"/>
        </w:rPr>
        <w:t>莆田市中等职业学校人才培养方案</w:t>
      </w:r>
    </w:p>
    <w:p>
      <w:pPr>
        <w:tabs>
          <w:tab w:val="left" w:pos="2003"/>
        </w:tabs>
        <w:spacing w:line="400" w:lineRule="exact"/>
        <w:ind w:firstLine="880"/>
        <w:jc w:val="center"/>
        <w:rPr>
          <w:rFonts w:ascii="黑体" w:hAnsi="黑体" w:eastAsia="黑体" w:cs="黑体"/>
          <w:sz w:val="44"/>
          <w:szCs w:val="44"/>
        </w:rPr>
      </w:pPr>
    </w:p>
    <w:p>
      <w:pPr>
        <w:bidi w:val="0"/>
        <w:jc w:val="center"/>
        <w:rPr>
          <w:rFonts w:ascii="黑体" w:hAnsi="黑体" w:eastAsia="黑体" w:cs="黑体"/>
          <w:sz w:val="28"/>
          <w:szCs w:val="28"/>
        </w:rPr>
      </w:pPr>
      <w:r>
        <w:rPr>
          <w:rFonts w:hint="eastAsia" w:ascii="黑体" w:hAnsi="黑体" w:eastAsia="黑体" w:cs="黑体"/>
          <w:sz w:val="44"/>
          <w:szCs w:val="44"/>
        </w:rPr>
        <w:t>数控技术应用专业人才培养方案</w:t>
      </w:r>
    </w:p>
    <w:p>
      <w:pPr>
        <w:tabs>
          <w:tab w:val="left" w:pos="2003"/>
        </w:tabs>
        <w:spacing w:line="400" w:lineRule="exact"/>
        <w:ind w:firstLine="560"/>
        <w:jc w:val="center"/>
        <w:rPr>
          <w:rFonts w:ascii="黑体" w:hAnsi="黑体" w:eastAsia="黑体" w:cs="黑体"/>
          <w:sz w:val="28"/>
          <w:szCs w:val="28"/>
        </w:rPr>
      </w:pPr>
    </w:p>
    <w:p>
      <w:pPr>
        <w:tabs>
          <w:tab w:val="left" w:pos="2003"/>
        </w:tabs>
        <w:spacing w:line="400" w:lineRule="exact"/>
        <w:ind w:firstLine="560"/>
        <w:jc w:val="center"/>
        <w:rPr>
          <w:rFonts w:ascii="黑体" w:hAnsi="黑体" w:eastAsia="黑体" w:cs="黑体"/>
          <w:sz w:val="28"/>
          <w:szCs w:val="28"/>
        </w:rPr>
      </w:pPr>
    </w:p>
    <w:p>
      <w:pPr>
        <w:tabs>
          <w:tab w:val="left" w:pos="2003"/>
        </w:tabs>
        <w:spacing w:line="400" w:lineRule="exact"/>
        <w:ind w:firstLine="560"/>
        <w:jc w:val="center"/>
        <w:rPr>
          <w:rFonts w:ascii="黑体" w:hAnsi="黑体" w:eastAsia="黑体" w:cs="黑体"/>
          <w:sz w:val="28"/>
          <w:szCs w:val="28"/>
        </w:rPr>
      </w:pPr>
    </w:p>
    <w:p>
      <w:pPr>
        <w:tabs>
          <w:tab w:val="left" w:pos="2003"/>
        </w:tabs>
        <w:spacing w:line="400" w:lineRule="exact"/>
        <w:ind w:firstLine="560"/>
        <w:jc w:val="center"/>
        <w:rPr>
          <w:rFonts w:ascii="黑体" w:hAnsi="黑体" w:eastAsia="黑体" w:cs="黑体"/>
          <w:sz w:val="28"/>
          <w:szCs w:val="28"/>
        </w:rPr>
      </w:pPr>
      <w:r>
        <w:drawing>
          <wp:anchor distT="0" distB="0" distL="0" distR="0" simplePos="0" relativeHeight="251659264" behindDoc="1" locked="0" layoutInCell="1" allowOverlap="1">
            <wp:simplePos x="0" y="0"/>
            <wp:positionH relativeFrom="column">
              <wp:posOffset>4980305</wp:posOffset>
            </wp:positionH>
            <wp:positionV relativeFrom="paragraph">
              <wp:posOffset>7964170</wp:posOffset>
            </wp:positionV>
            <wp:extent cx="1438275" cy="1438275"/>
            <wp:effectExtent l="0" t="0" r="9525" b="9525"/>
            <wp:wrapNone/>
            <wp:docPr id="237" name="图片 140"/>
            <wp:cNvGraphicFramePr/>
            <a:graphic xmlns:a="http://schemas.openxmlformats.org/drawingml/2006/main">
              <a:graphicData uri="http://schemas.openxmlformats.org/drawingml/2006/picture">
                <pic:pic xmlns:pic="http://schemas.openxmlformats.org/drawingml/2006/picture">
                  <pic:nvPicPr>
                    <pic:cNvPr id="237" name="图片 140"/>
                    <pic:cNvPicPr/>
                  </pic:nvPicPr>
                  <pic:blipFill>
                    <a:blip r:embed="rId10" cstate="print"/>
                    <a:srcRect/>
                    <a:stretch>
                      <a:fillRect/>
                    </a:stretch>
                  </pic:blipFill>
                  <pic:spPr>
                    <a:xfrm>
                      <a:off x="0" y="0"/>
                      <a:ext cx="1438275" cy="1438275"/>
                    </a:xfrm>
                    <a:prstGeom prst="rect">
                      <a:avLst/>
                    </a:prstGeom>
                    <a:ln>
                      <a:noFill/>
                    </a:ln>
                  </pic:spPr>
                </pic:pic>
              </a:graphicData>
            </a:graphic>
          </wp:anchor>
        </w:drawing>
      </w:r>
    </w:p>
    <w:p>
      <w:pPr>
        <w:tabs>
          <w:tab w:val="left" w:pos="2003"/>
        </w:tabs>
        <w:spacing w:line="400" w:lineRule="exact"/>
        <w:ind w:firstLine="560"/>
        <w:jc w:val="center"/>
        <w:rPr>
          <w:rFonts w:ascii="黑体" w:hAnsi="黑体" w:eastAsia="黑体" w:cs="黑体"/>
          <w:sz w:val="28"/>
          <w:szCs w:val="28"/>
        </w:rPr>
      </w:pPr>
    </w:p>
    <w:p>
      <w:pPr>
        <w:tabs>
          <w:tab w:val="left" w:pos="2003"/>
        </w:tabs>
        <w:spacing w:line="400" w:lineRule="exact"/>
        <w:ind w:firstLine="420"/>
        <w:jc w:val="center"/>
      </w:pPr>
      <w:r>
        <w:drawing>
          <wp:anchor distT="0" distB="0" distL="0" distR="0" simplePos="0" relativeHeight="251659264" behindDoc="1" locked="0" layoutInCell="1" allowOverlap="0">
            <wp:simplePos x="0" y="0"/>
            <wp:positionH relativeFrom="margin">
              <wp:posOffset>1145540</wp:posOffset>
            </wp:positionH>
            <wp:positionV relativeFrom="paragraph">
              <wp:posOffset>12700</wp:posOffset>
            </wp:positionV>
            <wp:extent cx="3168015" cy="396875"/>
            <wp:effectExtent l="0" t="0" r="13335" b="3175"/>
            <wp:wrapNone/>
            <wp:docPr id="238" name="图片 72"/>
            <wp:cNvGraphicFramePr/>
            <a:graphic xmlns:a="http://schemas.openxmlformats.org/drawingml/2006/main">
              <a:graphicData uri="http://schemas.openxmlformats.org/drawingml/2006/picture">
                <pic:pic xmlns:pic="http://schemas.openxmlformats.org/drawingml/2006/picture">
                  <pic:nvPicPr>
                    <pic:cNvPr id="238" name="图片 72"/>
                    <pic:cNvPicPr/>
                  </pic:nvPicPr>
                  <pic:blipFill>
                    <a:blip r:embed="rId11" cstate="print">
                      <a:lum contrast="40000"/>
                    </a:blip>
                    <a:srcRect t="17493" r="4498" b="29255"/>
                    <a:stretch>
                      <a:fillRect/>
                    </a:stretch>
                  </pic:blipFill>
                  <pic:spPr>
                    <a:xfrm>
                      <a:off x="0" y="0"/>
                      <a:ext cx="3168015" cy="396875"/>
                    </a:xfrm>
                    <a:prstGeom prst="rect">
                      <a:avLst/>
                    </a:prstGeom>
                    <a:ln>
                      <a:noFill/>
                    </a:ln>
                  </pic:spPr>
                </pic:pic>
              </a:graphicData>
            </a:graphic>
          </wp:anchor>
        </w:drawing>
      </w:r>
    </w:p>
    <w:p>
      <w:pPr>
        <w:ind w:firstLine="420"/>
      </w:pPr>
    </w:p>
    <w:p>
      <w:pPr>
        <w:ind w:firstLine="420"/>
      </w:pPr>
    </w:p>
    <w:p>
      <w:pPr>
        <w:ind w:firstLine="420"/>
      </w:pPr>
    </w:p>
    <w:p/>
    <w:p>
      <w:pPr>
        <w:jc w:val="center"/>
        <w:rPr>
          <w:rFonts w:ascii="黑体" w:hAnsi="黑体" w:eastAsia="黑体" w:cs="黑体"/>
          <w:sz w:val="36"/>
          <w:szCs w:val="36"/>
        </w:rPr>
      </w:pPr>
    </w:p>
    <w:p>
      <w:pPr>
        <w:jc w:val="center"/>
        <w:rPr>
          <w:rFonts w:hint="eastAsia" w:ascii="楷体" w:hAnsi="楷体" w:eastAsia="楷体" w:cs="楷体"/>
          <w:sz w:val="36"/>
          <w:szCs w:val="36"/>
        </w:rPr>
      </w:pPr>
      <w:r>
        <w:rPr>
          <w:rFonts w:hint="eastAsia" w:ascii="楷体" w:hAnsi="楷体" w:eastAsia="楷体" w:cs="楷体"/>
          <w:sz w:val="36"/>
          <w:szCs w:val="36"/>
        </w:rPr>
        <w:t>20</w:t>
      </w:r>
      <w:r>
        <w:rPr>
          <w:rFonts w:hint="eastAsia" w:ascii="楷体" w:hAnsi="楷体" w:eastAsia="楷体" w:cs="楷体"/>
          <w:sz w:val="36"/>
          <w:szCs w:val="36"/>
          <w:lang w:val="en-US" w:eastAsia="zh-CN"/>
        </w:rPr>
        <w:t>22</w:t>
      </w:r>
      <w:r>
        <w:rPr>
          <w:rFonts w:hint="eastAsia" w:ascii="楷体" w:hAnsi="楷体" w:eastAsia="楷体" w:cs="楷体"/>
          <w:sz w:val="36"/>
          <w:szCs w:val="36"/>
        </w:rPr>
        <w:t>年</w:t>
      </w:r>
      <w:r>
        <w:rPr>
          <w:rFonts w:hint="eastAsia" w:ascii="楷体" w:hAnsi="楷体" w:eastAsia="楷体" w:cs="楷体"/>
          <w:sz w:val="36"/>
          <w:szCs w:val="36"/>
          <w:lang w:val="en-US" w:eastAsia="zh-CN"/>
        </w:rPr>
        <w:t>5</w:t>
      </w:r>
      <w:r>
        <w:rPr>
          <w:rFonts w:hint="eastAsia" w:ascii="楷体" w:hAnsi="楷体" w:eastAsia="楷体" w:cs="楷体"/>
          <w:sz w:val="36"/>
          <w:szCs w:val="36"/>
        </w:rPr>
        <w:t>月</w:t>
      </w:r>
    </w:p>
    <w:p/>
    <w:p>
      <w:pPr>
        <w:spacing w:line="500" w:lineRule="exact"/>
        <w:jc w:val="center"/>
        <w:textAlignment w:val="baseline"/>
        <w:rPr>
          <w:rFonts w:hint="eastAsia" w:ascii="黑体" w:hAnsi="黑体" w:eastAsia="黑体"/>
          <w:b/>
          <w:bCs/>
          <w:sz w:val="36"/>
          <w:szCs w:val="36"/>
        </w:rPr>
        <w:sectPr>
          <w:footerReference r:id="rId3" w:type="default"/>
          <w:pgSz w:w="11906" w:h="16838"/>
          <w:pgMar w:top="1418" w:right="1418" w:bottom="1418" w:left="1418" w:header="454" w:footer="1021" w:gutter="0"/>
          <w:pgNumType w:fmt="decimal"/>
          <w:cols w:space="720" w:num="1"/>
          <w:docGrid w:type="lines" w:linePitch="312" w:charSpace="0"/>
        </w:sectPr>
      </w:pPr>
    </w:p>
    <w:p>
      <w:pPr>
        <w:spacing w:line="500" w:lineRule="exact"/>
        <w:jc w:val="center"/>
        <w:textAlignment w:val="baseline"/>
        <w:rPr>
          <w:rFonts w:ascii="黑体" w:hAnsi="黑体" w:eastAsia="黑体"/>
          <w:b/>
          <w:bCs/>
          <w:sz w:val="36"/>
          <w:szCs w:val="36"/>
        </w:rPr>
      </w:pPr>
      <w:r>
        <w:rPr>
          <w:rFonts w:hint="eastAsia" w:ascii="黑体" w:hAnsi="黑体" w:eastAsia="黑体"/>
          <w:b/>
          <w:bCs/>
          <w:sz w:val="36"/>
          <w:szCs w:val="36"/>
        </w:rPr>
        <w:t>前  言</w:t>
      </w:r>
    </w:p>
    <w:p>
      <w:pPr>
        <w:spacing w:line="500" w:lineRule="exact"/>
        <w:ind w:firstLine="562" w:firstLineChars="200"/>
        <w:jc w:val="left"/>
        <w:textAlignment w:val="baseline"/>
        <w:rPr>
          <w:b/>
          <w:bCs/>
          <w:sz w:val="28"/>
          <w:szCs w:val="28"/>
        </w:rPr>
      </w:pPr>
    </w:p>
    <w:p>
      <w:pPr>
        <w:spacing w:line="500" w:lineRule="exact"/>
        <w:ind w:firstLine="562" w:firstLineChars="200"/>
        <w:jc w:val="left"/>
        <w:textAlignment w:val="baseline"/>
        <w:rPr>
          <w:rFonts w:ascii="黑体" w:hAnsi="黑体" w:eastAsia="黑体" w:cs="仿宋_GB2312"/>
          <w:b/>
          <w:bCs/>
          <w:sz w:val="28"/>
          <w:szCs w:val="28"/>
        </w:rPr>
      </w:pPr>
      <w:r>
        <w:rPr>
          <w:rFonts w:hint="eastAsia" w:ascii="黑体" w:hAnsi="黑体" w:eastAsia="黑体"/>
          <w:b/>
          <w:bCs/>
          <w:sz w:val="28"/>
          <w:szCs w:val="28"/>
        </w:rPr>
        <w:t>（一）编制依据</w:t>
      </w:r>
    </w:p>
    <w:p>
      <w:pPr>
        <w:spacing w:line="500" w:lineRule="exact"/>
        <w:ind w:firstLine="560" w:firstLineChars="200"/>
        <w:jc w:val="left"/>
        <w:textAlignment w:val="baseline"/>
        <w:rPr>
          <w:rFonts w:ascii="宋体" w:hAnsi="宋体"/>
          <w:sz w:val="28"/>
          <w:szCs w:val="28"/>
        </w:rPr>
      </w:pPr>
      <w:r>
        <w:rPr>
          <w:rFonts w:hint="eastAsia" w:ascii="宋体" w:hAnsi="宋体"/>
          <w:sz w:val="28"/>
          <w:szCs w:val="28"/>
        </w:rPr>
        <w:t>1.《国务院关于印发国家职业教育改革实施方案的通知》（国发〔2019〕4号）。</w:t>
      </w:r>
    </w:p>
    <w:p>
      <w:pPr>
        <w:spacing w:line="500" w:lineRule="exact"/>
        <w:ind w:firstLine="560" w:firstLineChars="200"/>
        <w:jc w:val="left"/>
        <w:textAlignment w:val="baseline"/>
        <w:rPr>
          <w:rFonts w:ascii="宋体" w:hAnsi="宋体"/>
          <w:sz w:val="28"/>
          <w:szCs w:val="28"/>
        </w:rPr>
      </w:pPr>
      <w:r>
        <w:rPr>
          <w:rFonts w:hint="eastAsia" w:ascii="宋体" w:hAnsi="宋体"/>
          <w:sz w:val="28"/>
          <w:szCs w:val="28"/>
        </w:rPr>
        <w:t>2.教育部等六部门发布的现代职业教育体系建设规划。</w:t>
      </w:r>
    </w:p>
    <w:p>
      <w:pPr>
        <w:spacing w:line="500" w:lineRule="exact"/>
        <w:ind w:firstLine="560" w:firstLineChars="200"/>
        <w:jc w:val="left"/>
        <w:textAlignment w:val="baseline"/>
        <w:rPr>
          <w:rFonts w:ascii="宋体" w:hAnsi="宋体"/>
          <w:sz w:val="28"/>
          <w:szCs w:val="28"/>
        </w:rPr>
      </w:pPr>
      <w:r>
        <w:rPr>
          <w:rFonts w:hint="eastAsia" w:ascii="宋体" w:hAnsi="宋体"/>
          <w:sz w:val="28"/>
          <w:szCs w:val="28"/>
        </w:rPr>
        <w:t>3.《教育部关于职业院校专业人才培养方案制订与实施工作的指导意见》（教职成〔2019〕13号）。</w:t>
      </w:r>
    </w:p>
    <w:p>
      <w:pPr>
        <w:spacing w:line="500" w:lineRule="exact"/>
        <w:ind w:firstLine="560" w:firstLineChars="200"/>
        <w:jc w:val="left"/>
        <w:textAlignment w:val="baseline"/>
        <w:rPr>
          <w:rFonts w:ascii="宋体" w:hAnsi="宋体"/>
          <w:sz w:val="28"/>
          <w:szCs w:val="28"/>
        </w:rPr>
      </w:pPr>
      <w:r>
        <w:rPr>
          <w:rFonts w:hint="eastAsia" w:ascii="宋体" w:hAnsi="宋体"/>
          <w:sz w:val="28"/>
          <w:szCs w:val="28"/>
        </w:rPr>
        <w:t>4.教育部办公厅《中等职业学校数控技术应用专业教学标准（试行）》</w:t>
      </w:r>
    </w:p>
    <w:p>
      <w:pPr>
        <w:spacing w:line="500" w:lineRule="exact"/>
        <w:ind w:firstLine="560" w:firstLineChars="200"/>
        <w:jc w:val="left"/>
        <w:textAlignment w:val="baseline"/>
        <w:rPr>
          <w:rFonts w:ascii="宋体" w:hAnsi="宋体"/>
          <w:sz w:val="28"/>
          <w:szCs w:val="28"/>
        </w:rPr>
      </w:pPr>
      <w:r>
        <w:rPr>
          <w:rFonts w:hint="eastAsia" w:ascii="宋体" w:hAnsi="宋体"/>
          <w:sz w:val="28"/>
          <w:szCs w:val="28"/>
        </w:rPr>
        <w:t>5.《福建省福建省教育厅关于做好职业院校专业人才培养方案制订与实施工作的通知》（闽教职成〔2019〕24号）</w:t>
      </w:r>
    </w:p>
    <w:p>
      <w:pPr>
        <w:spacing w:line="500" w:lineRule="exact"/>
        <w:ind w:firstLine="560" w:firstLineChars="200"/>
        <w:jc w:val="left"/>
        <w:textAlignment w:val="baseline"/>
        <w:rPr>
          <w:rFonts w:ascii="宋体" w:hAnsi="宋体"/>
          <w:sz w:val="28"/>
          <w:szCs w:val="28"/>
        </w:rPr>
      </w:pPr>
      <w:r>
        <w:rPr>
          <w:rFonts w:hint="eastAsia" w:ascii="宋体" w:hAnsi="宋体"/>
          <w:sz w:val="28"/>
          <w:szCs w:val="28"/>
        </w:rPr>
        <w:t>6.《职业院校专业人才培养方案参考格式及有关说明》</w:t>
      </w:r>
    </w:p>
    <w:p>
      <w:pPr>
        <w:spacing w:line="500" w:lineRule="exact"/>
        <w:ind w:firstLine="560" w:firstLineChars="200"/>
        <w:jc w:val="left"/>
        <w:textAlignment w:val="baseline"/>
        <w:rPr>
          <w:rFonts w:ascii="宋体" w:hAnsi="宋体"/>
          <w:sz w:val="28"/>
          <w:szCs w:val="28"/>
        </w:rPr>
      </w:pPr>
      <w:r>
        <w:rPr>
          <w:rFonts w:hint="eastAsia" w:ascii="宋体" w:hAnsi="宋体"/>
          <w:sz w:val="28"/>
          <w:szCs w:val="28"/>
        </w:rPr>
        <w:t>7.《数控技术应用专业人才需求分析和预测调研报告》。</w:t>
      </w:r>
    </w:p>
    <w:p>
      <w:pPr>
        <w:spacing w:line="500" w:lineRule="exact"/>
        <w:ind w:firstLine="560" w:firstLineChars="200"/>
        <w:jc w:val="left"/>
        <w:textAlignment w:val="baseline"/>
        <w:rPr>
          <w:rFonts w:ascii="宋体" w:hAnsi="宋体"/>
          <w:sz w:val="28"/>
          <w:szCs w:val="28"/>
        </w:rPr>
      </w:pPr>
      <w:r>
        <w:rPr>
          <w:rFonts w:hint="eastAsia" w:ascii="宋体" w:hAnsi="宋体"/>
          <w:sz w:val="28"/>
          <w:szCs w:val="28"/>
        </w:rPr>
        <w:t>8.《数控技术应用专业人才目标、规格、能力分析报告》。</w:t>
      </w:r>
    </w:p>
    <w:p>
      <w:pPr>
        <w:spacing w:line="500" w:lineRule="exact"/>
        <w:ind w:firstLine="560" w:firstLineChars="200"/>
        <w:jc w:val="left"/>
        <w:textAlignment w:val="baseline"/>
        <w:rPr>
          <w:rFonts w:ascii="宋体" w:hAnsi="宋体"/>
          <w:sz w:val="28"/>
          <w:szCs w:val="28"/>
        </w:rPr>
      </w:pPr>
      <w:r>
        <w:rPr>
          <w:rFonts w:hint="eastAsia" w:ascii="宋体" w:hAnsi="宋体"/>
          <w:sz w:val="28"/>
          <w:szCs w:val="28"/>
        </w:rPr>
        <w:t>9.《数控技术应用专业职业岗位群、典型工作任务与职业能力分析表》。</w:t>
      </w:r>
    </w:p>
    <w:p>
      <w:pPr>
        <w:spacing w:line="500" w:lineRule="exact"/>
        <w:ind w:firstLine="562" w:firstLineChars="200"/>
        <w:jc w:val="left"/>
        <w:textAlignment w:val="baseline"/>
        <w:rPr>
          <w:rFonts w:ascii="黑体" w:hAnsi="黑体" w:eastAsia="黑体"/>
          <w:b/>
          <w:bCs/>
          <w:sz w:val="28"/>
          <w:szCs w:val="28"/>
        </w:rPr>
      </w:pPr>
      <w:bookmarkStart w:id="14" w:name="_GoBack"/>
      <w:bookmarkEnd w:id="14"/>
      <w:r>
        <w:rPr>
          <w:rFonts w:hint="eastAsia" w:ascii="黑体" w:hAnsi="黑体" w:eastAsia="黑体"/>
          <w:b/>
          <w:bCs/>
          <w:sz w:val="28"/>
          <w:szCs w:val="28"/>
        </w:rPr>
        <w:t>（二）指导思想</w:t>
      </w:r>
    </w:p>
    <w:p>
      <w:pPr>
        <w:spacing w:line="500" w:lineRule="exact"/>
        <w:ind w:firstLine="560" w:firstLineChars="200"/>
        <w:jc w:val="left"/>
        <w:textAlignment w:val="baseline"/>
        <w:rPr>
          <w:rFonts w:ascii="宋体" w:hAnsi="宋体"/>
          <w:sz w:val="28"/>
          <w:szCs w:val="28"/>
        </w:rPr>
      </w:pPr>
      <w:r>
        <w:rPr>
          <w:rFonts w:hint="eastAsia" w:ascii="宋体" w:hAnsi="宋体"/>
          <w:sz w:val="28"/>
          <w:szCs w:val="28"/>
        </w:rPr>
        <w:t>以习近平新时代中国特色社会主义思想为指导，深入贯彻党的十九大精神，按照全国教育大会部署，落实立德树人根本任务，坚持面向市场、服务发展、促进就业的办学方向，健全德技并修、工学结合育人机制，构建德智体美劳全面发展的人才培养体系，突出职业教育的类型特点，深化产教融合、校企合作，推进教师、教材、教法改革，规范人才培养全过程，加快培养复合型技术技能人才, 完善职业教育，办好人民满意的教育。</w:t>
      </w:r>
    </w:p>
    <w:p>
      <w:pPr>
        <w:spacing w:line="500" w:lineRule="exact"/>
        <w:ind w:firstLine="560" w:firstLineChars="200"/>
        <w:jc w:val="left"/>
        <w:textAlignment w:val="baseline"/>
        <w:rPr>
          <w:rFonts w:ascii="宋体" w:hAnsi="宋体"/>
          <w:sz w:val="28"/>
          <w:szCs w:val="28"/>
        </w:rPr>
      </w:pPr>
    </w:p>
    <w:p>
      <w:pPr>
        <w:ind w:firstLine="723" w:firstLineChars="200"/>
        <w:jc w:val="center"/>
        <w:rPr>
          <w:rFonts w:hint="eastAsia" w:ascii="黑体" w:hAnsi="黑体" w:eastAsia="黑体" w:cs="黑体"/>
          <w:b/>
          <w:bCs/>
          <w:sz w:val="36"/>
          <w:szCs w:val="36"/>
        </w:rPr>
        <w:sectPr>
          <w:footerReference r:id="rId4" w:type="default"/>
          <w:pgSz w:w="11906" w:h="16838"/>
          <w:pgMar w:top="1418" w:right="1418" w:bottom="1418" w:left="1418" w:header="454" w:footer="1021" w:gutter="0"/>
          <w:pgNumType w:fmt="decimal" w:start="1"/>
          <w:cols w:space="720" w:num="1"/>
          <w:docGrid w:type="lines" w:linePitch="312" w:charSpace="0"/>
        </w:sectPr>
      </w:pPr>
    </w:p>
    <w:p>
      <w:pPr>
        <w:ind w:firstLine="723" w:firstLineChars="200"/>
        <w:jc w:val="center"/>
        <w:rPr>
          <w:rFonts w:ascii="黑体" w:hAnsi="黑体" w:eastAsia="黑体" w:cs="黑体"/>
          <w:b/>
          <w:bCs/>
          <w:sz w:val="36"/>
          <w:szCs w:val="36"/>
        </w:rPr>
      </w:pPr>
      <w:r>
        <w:rPr>
          <w:rFonts w:hint="eastAsia" w:ascii="黑体" w:hAnsi="黑体" w:eastAsia="黑体" w:cs="黑体"/>
          <w:b/>
          <w:bCs/>
          <w:sz w:val="36"/>
          <w:szCs w:val="36"/>
        </w:rPr>
        <w:t>目  录</w:t>
      </w:r>
    </w:p>
    <w:p>
      <w:pPr>
        <w:pStyle w:val="8"/>
        <w:tabs>
          <w:tab w:val="right" w:leader="dot" w:pos="9070"/>
        </w:tabs>
        <w:rPr>
          <w:rFonts w:hint="eastAsia" w:ascii="宋体" w:hAnsi="宋体" w:eastAsia="宋体" w:cs="宋体"/>
          <w:sz w:val="28"/>
          <w:szCs w:val="28"/>
        </w:rPr>
      </w:pPr>
      <w:r>
        <w:rPr>
          <w:rFonts w:hint="eastAsia" w:ascii="宋体" w:hAnsi="宋体" w:eastAsia="宋体" w:cs="宋体"/>
          <w:sz w:val="28"/>
          <w:szCs w:val="28"/>
          <w:shd w:val="clear" w:color="auto" w:fill="auto"/>
        </w:rPr>
        <w:fldChar w:fldCharType="begin"/>
      </w:r>
      <w:r>
        <w:rPr>
          <w:rFonts w:hint="eastAsia" w:ascii="宋体" w:hAnsi="宋体" w:eastAsia="宋体" w:cs="宋体"/>
          <w:sz w:val="28"/>
          <w:szCs w:val="28"/>
          <w:shd w:val="clear" w:color="auto" w:fill="auto"/>
        </w:rPr>
        <w:instrText xml:space="preserve"> TOC \o "1-3" \h \z \u </w:instrText>
      </w:r>
      <w:r>
        <w:rPr>
          <w:rFonts w:hint="eastAsia" w:ascii="宋体" w:hAnsi="宋体" w:eastAsia="宋体" w:cs="宋体"/>
          <w:sz w:val="28"/>
          <w:szCs w:val="28"/>
          <w:shd w:val="clear" w:color="auto" w:fill="auto"/>
        </w:rPr>
        <w:fldChar w:fldCharType="separate"/>
      </w:r>
      <w:r>
        <w:rPr>
          <w:rFonts w:hint="eastAsia" w:ascii="宋体" w:hAnsi="宋体" w:eastAsia="宋体" w:cs="宋体"/>
          <w:sz w:val="28"/>
          <w:szCs w:val="28"/>
          <w:shd w:val="clear" w:color="auto" w:fill="auto"/>
        </w:rPr>
        <w:fldChar w:fldCharType="begin"/>
      </w:r>
      <w:r>
        <w:rPr>
          <w:rFonts w:hint="eastAsia" w:ascii="宋体" w:hAnsi="宋体" w:eastAsia="宋体" w:cs="宋体"/>
          <w:sz w:val="28"/>
          <w:szCs w:val="28"/>
          <w:shd w:val="clear" w:color="auto" w:fill="auto"/>
        </w:rPr>
        <w:instrText xml:space="preserve"> HYPERLINK \l _Toc28833 </w:instrText>
      </w:r>
      <w:r>
        <w:rPr>
          <w:rFonts w:hint="eastAsia" w:ascii="宋体" w:hAnsi="宋体" w:eastAsia="宋体" w:cs="宋体"/>
          <w:sz w:val="28"/>
          <w:szCs w:val="28"/>
          <w:shd w:val="clear" w:color="auto" w:fill="auto"/>
        </w:rPr>
        <w:fldChar w:fldCharType="separate"/>
      </w:r>
      <w:r>
        <w:rPr>
          <w:rFonts w:hint="eastAsia" w:ascii="宋体" w:hAnsi="宋体" w:eastAsia="宋体" w:cs="宋体"/>
          <w:bCs w:val="0"/>
          <w:sz w:val="28"/>
          <w:szCs w:val="28"/>
        </w:rPr>
        <w:t>一、专业名称（专业代码）</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_Toc28833 </w:instrText>
      </w:r>
      <w:r>
        <w:rPr>
          <w:rFonts w:hint="eastAsia" w:ascii="宋体" w:hAnsi="宋体" w:eastAsia="宋体" w:cs="宋体"/>
          <w:sz w:val="28"/>
          <w:szCs w:val="28"/>
        </w:rPr>
        <w:fldChar w:fldCharType="separate"/>
      </w:r>
      <w:r>
        <w:rPr>
          <w:rFonts w:hint="eastAsia" w:ascii="宋体" w:hAnsi="宋体" w:eastAsia="宋体" w:cs="宋体"/>
          <w:sz w:val="28"/>
          <w:szCs w:val="28"/>
        </w:rPr>
        <w:t>75</w:t>
      </w:r>
      <w:r>
        <w:rPr>
          <w:rFonts w:hint="eastAsia" w:ascii="宋体" w:hAnsi="宋体" w:eastAsia="宋体" w:cs="宋体"/>
          <w:sz w:val="28"/>
          <w:szCs w:val="28"/>
        </w:rPr>
        <w:fldChar w:fldCharType="end"/>
      </w:r>
      <w:r>
        <w:rPr>
          <w:rFonts w:hint="eastAsia" w:ascii="宋体" w:hAnsi="宋体" w:eastAsia="宋体" w:cs="宋体"/>
          <w:sz w:val="28"/>
          <w:szCs w:val="28"/>
          <w:shd w:val="clear" w:color="auto" w:fill="auto"/>
        </w:rPr>
        <w:fldChar w:fldCharType="end"/>
      </w:r>
    </w:p>
    <w:p>
      <w:pPr>
        <w:pStyle w:val="8"/>
        <w:tabs>
          <w:tab w:val="right" w:leader="dot" w:pos="9070"/>
        </w:tabs>
        <w:rPr>
          <w:rFonts w:hint="eastAsia" w:ascii="宋体" w:hAnsi="宋体" w:eastAsia="宋体" w:cs="宋体"/>
          <w:sz w:val="28"/>
          <w:szCs w:val="28"/>
        </w:rPr>
      </w:pPr>
      <w:r>
        <w:rPr>
          <w:rFonts w:hint="eastAsia" w:ascii="宋体" w:hAnsi="宋体" w:eastAsia="宋体" w:cs="宋体"/>
          <w:sz w:val="28"/>
          <w:szCs w:val="28"/>
          <w:shd w:val="clear" w:color="auto" w:fill="auto"/>
          <w:lang w:val="zh-CN"/>
        </w:rPr>
        <w:fldChar w:fldCharType="begin"/>
      </w:r>
      <w:r>
        <w:rPr>
          <w:rFonts w:hint="eastAsia" w:ascii="宋体" w:hAnsi="宋体" w:eastAsia="宋体" w:cs="宋体"/>
          <w:sz w:val="28"/>
          <w:szCs w:val="28"/>
          <w:shd w:val="clear" w:color="auto" w:fill="auto"/>
          <w:lang w:val="zh-CN"/>
        </w:rPr>
        <w:instrText xml:space="preserve"> HYPERLINK \l _Toc18010 </w:instrText>
      </w:r>
      <w:r>
        <w:rPr>
          <w:rFonts w:hint="eastAsia" w:ascii="宋体" w:hAnsi="宋体" w:eastAsia="宋体" w:cs="宋体"/>
          <w:sz w:val="28"/>
          <w:szCs w:val="28"/>
          <w:shd w:val="clear" w:color="auto" w:fill="auto"/>
          <w:lang w:val="zh-CN"/>
        </w:rPr>
        <w:fldChar w:fldCharType="separate"/>
      </w:r>
      <w:r>
        <w:rPr>
          <w:rFonts w:hint="eastAsia" w:ascii="宋体" w:hAnsi="宋体" w:eastAsia="宋体" w:cs="宋体"/>
          <w:bCs w:val="0"/>
          <w:sz w:val="28"/>
          <w:szCs w:val="28"/>
        </w:rPr>
        <w:t>二、入学要求</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_Toc18010 </w:instrText>
      </w:r>
      <w:r>
        <w:rPr>
          <w:rFonts w:hint="eastAsia" w:ascii="宋体" w:hAnsi="宋体" w:eastAsia="宋体" w:cs="宋体"/>
          <w:sz w:val="28"/>
          <w:szCs w:val="28"/>
        </w:rPr>
        <w:fldChar w:fldCharType="separate"/>
      </w:r>
      <w:r>
        <w:rPr>
          <w:rFonts w:hint="eastAsia" w:ascii="宋体" w:hAnsi="宋体" w:eastAsia="宋体" w:cs="宋体"/>
          <w:sz w:val="28"/>
          <w:szCs w:val="28"/>
        </w:rPr>
        <w:t>75</w:t>
      </w:r>
      <w:r>
        <w:rPr>
          <w:rFonts w:hint="eastAsia" w:ascii="宋体" w:hAnsi="宋体" w:eastAsia="宋体" w:cs="宋体"/>
          <w:sz w:val="28"/>
          <w:szCs w:val="28"/>
        </w:rPr>
        <w:fldChar w:fldCharType="end"/>
      </w:r>
      <w:r>
        <w:rPr>
          <w:rFonts w:hint="eastAsia" w:ascii="宋体" w:hAnsi="宋体" w:eastAsia="宋体" w:cs="宋体"/>
          <w:sz w:val="28"/>
          <w:szCs w:val="28"/>
          <w:shd w:val="clear" w:color="auto" w:fill="auto"/>
          <w:lang w:val="zh-CN"/>
        </w:rPr>
        <w:fldChar w:fldCharType="end"/>
      </w:r>
    </w:p>
    <w:p>
      <w:pPr>
        <w:pStyle w:val="8"/>
        <w:tabs>
          <w:tab w:val="right" w:leader="dot" w:pos="9070"/>
        </w:tabs>
        <w:rPr>
          <w:rFonts w:hint="eastAsia" w:ascii="宋体" w:hAnsi="宋体" w:eastAsia="宋体" w:cs="宋体"/>
          <w:sz w:val="28"/>
          <w:szCs w:val="28"/>
        </w:rPr>
      </w:pPr>
      <w:r>
        <w:rPr>
          <w:rFonts w:hint="eastAsia" w:ascii="宋体" w:hAnsi="宋体" w:eastAsia="宋体" w:cs="宋体"/>
          <w:sz w:val="28"/>
          <w:szCs w:val="28"/>
          <w:shd w:val="clear" w:color="auto" w:fill="auto"/>
          <w:lang w:val="zh-CN"/>
        </w:rPr>
        <w:fldChar w:fldCharType="begin"/>
      </w:r>
      <w:r>
        <w:rPr>
          <w:rFonts w:hint="eastAsia" w:ascii="宋体" w:hAnsi="宋体" w:eastAsia="宋体" w:cs="宋体"/>
          <w:sz w:val="28"/>
          <w:szCs w:val="28"/>
          <w:shd w:val="clear" w:color="auto" w:fill="auto"/>
          <w:lang w:val="zh-CN"/>
        </w:rPr>
        <w:instrText xml:space="preserve"> HYPERLINK \l _Toc14076 </w:instrText>
      </w:r>
      <w:r>
        <w:rPr>
          <w:rFonts w:hint="eastAsia" w:ascii="宋体" w:hAnsi="宋体" w:eastAsia="宋体" w:cs="宋体"/>
          <w:sz w:val="28"/>
          <w:szCs w:val="28"/>
          <w:shd w:val="clear" w:color="auto" w:fill="auto"/>
          <w:lang w:val="zh-CN"/>
        </w:rPr>
        <w:fldChar w:fldCharType="separate"/>
      </w:r>
      <w:r>
        <w:rPr>
          <w:rFonts w:hint="eastAsia" w:ascii="宋体" w:hAnsi="宋体" w:eastAsia="宋体" w:cs="宋体"/>
          <w:bCs w:val="0"/>
          <w:sz w:val="28"/>
          <w:szCs w:val="28"/>
        </w:rPr>
        <w:t>三、修业年限</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_Toc14076 </w:instrText>
      </w:r>
      <w:r>
        <w:rPr>
          <w:rFonts w:hint="eastAsia" w:ascii="宋体" w:hAnsi="宋体" w:eastAsia="宋体" w:cs="宋体"/>
          <w:sz w:val="28"/>
          <w:szCs w:val="28"/>
        </w:rPr>
        <w:fldChar w:fldCharType="separate"/>
      </w:r>
      <w:r>
        <w:rPr>
          <w:rFonts w:hint="eastAsia" w:ascii="宋体" w:hAnsi="宋体" w:eastAsia="宋体" w:cs="宋体"/>
          <w:sz w:val="28"/>
          <w:szCs w:val="28"/>
        </w:rPr>
        <w:t>75</w:t>
      </w:r>
      <w:r>
        <w:rPr>
          <w:rFonts w:hint="eastAsia" w:ascii="宋体" w:hAnsi="宋体" w:eastAsia="宋体" w:cs="宋体"/>
          <w:sz w:val="28"/>
          <w:szCs w:val="28"/>
        </w:rPr>
        <w:fldChar w:fldCharType="end"/>
      </w:r>
      <w:r>
        <w:rPr>
          <w:rFonts w:hint="eastAsia" w:ascii="宋体" w:hAnsi="宋体" w:eastAsia="宋体" w:cs="宋体"/>
          <w:sz w:val="28"/>
          <w:szCs w:val="28"/>
          <w:shd w:val="clear" w:color="auto" w:fill="auto"/>
          <w:lang w:val="zh-CN"/>
        </w:rPr>
        <w:fldChar w:fldCharType="end"/>
      </w:r>
    </w:p>
    <w:p>
      <w:pPr>
        <w:pStyle w:val="8"/>
        <w:tabs>
          <w:tab w:val="right" w:leader="dot" w:pos="9070"/>
        </w:tabs>
        <w:rPr>
          <w:rFonts w:hint="eastAsia" w:ascii="宋体" w:hAnsi="宋体" w:eastAsia="宋体" w:cs="宋体"/>
          <w:sz w:val="28"/>
          <w:szCs w:val="28"/>
        </w:rPr>
      </w:pPr>
      <w:r>
        <w:rPr>
          <w:rFonts w:hint="eastAsia" w:ascii="宋体" w:hAnsi="宋体" w:eastAsia="宋体" w:cs="宋体"/>
          <w:sz w:val="28"/>
          <w:szCs w:val="28"/>
          <w:shd w:val="clear" w:color="auto" w:fill="auto"/>
          <w:lang w:val="zh-CN"/>
        </w:rPr>
        <w:fldChar w:fldCharType="begin"/>
      </w:r>
      <w:r>
        <w:rPr>
          <w:rFonts w:hint="eastAsia" w:ascii="宋体" w:hAnsi="宋体" w:eastAsia="宋体" w:cs="宋体"/>
          <w:sz w:val="28"/>
          <w:szCs w:val="28"/>
          <w:shd w:val="clear" w:color="auto" w:fill="auto"/>
          <w:lang w:val="zh-CN"/>
        </w:rPr>
        <w:instrText xml:space="preserve"> HYPERLINK \l _Toc10976 </w:instrText>
      </w:r>
      <w:r>
        <w:rPr>
          <w:rFonts w:hint="eastAsia" w:ascii="宋体" w:hAnsi="宋体" w:eastAsia="宋体" w:cs="宋体"/>
          <w:sz w:val="28"/>
          <w:szCs w:val="28"/>
          <w:shd w:val="clear" w:color="auto" w:fill="auto"/>
          <w:lang w:val="zh-CN"/>
        </w:rPr>
        <w:fldChar w:fldCharType="separate"/>
      </w:r>
      <w:r>
        <w:rPr>
          <w:rFonts w:hint="eastAsia" w:ascii="宋体" w:hAnsi="宋体" w:eastAsia="宋体" w:cs="宋体"/>
          <w:bCs w:val="0"/>
          <w:sz w:val="28"/>
          <w:szCs w:val="28"/>
        </w:rPr>
        <w:t>四、职业面向</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_Toc10976 </w:instrText>
      </w:r>
      <w:r>
        <w:rPr>
          <w:rFonts w:hint="eastAsia" w:ascii="宋体" w:hAnsi="宋体" w:eastAsia="宋体" w:cs="宋体"/>
          <w:sz w:val="28"/>
          <w:szCs w:val="28"/>
        </w:rPr>
        <w:fldChar w:fldCharType="separate"/>
      </w:r>
      <w:r>
        <w:rPr>
          <w:rFonts w:hint="eastAsia" w:ascii="宋体" w:hAnsi="宋体" w:eastAsia="宋体" w:cs="宋体"/>
          <w:sz w:val="28"/>
          <w:szCs w:val="28"/>
        </w:rPr>
        <w:t>75</w:t>
      </w:r>
      <w:r>
        <w:rPr>
          <w:rFonts w:hint="eastAsia" w:ascii="宋体" w:hAnsi="宋体" w:eastAsia="宋体" w:cs="宋体"/>
          <w:sz w:val="28"/>
          <w:szCs w:val="28"/>
        </w:rPr>
        <w:fldChar w:fldCharType="end"/>
      </w:r>
      <w:r>
        <w:rPr>
          <w:rFonts w:hint="eastAsia" w:ascii="宋体" w:hAnsi="宋体" w:eastAsia="宋体" w:cs="宋体"/>
          <w:sz w:val="28"/>
          <w:szCs w:val="28"/>
          <w:shd w:val="clear" w:color="auto" w:fill="auto"/>
          <w:lang w:val="zh-CN"/>
        </w:rPr>
        <w:fldChar w:fldCharType="end"/>
      </w:r>
    </w:p>
    <w:p>
      <w:pPr>
        <w:pStyle w:val="8"/>
        <w:tabs>
          <w:tab w:val="right" w:leader="dot" w:pos="9070"/>
        </w:tabs>
        <w:rPr>
          <w:rFonts w:hint="eastAsia" w:ascii="宋体" w:hAnsi="宋体" w:eastAsia="宋体" w:cs="宋体"/>
          <w:sz w:val="28"/>
          <w:szCs w:val="28"/>
        </w:rPr>
      </w:pPr>
      <w:r>
        <w:rPr>
          <w:rFonts w:hint="eastAsia" w:ascii="宋体" w:hAnsi="宋体" w:eastAsia="宋体" w:cs="宋体"/>
          <w:sz w:val="28"/>
          <w:szCs w:val="28"/>
          <w:shd w:val="clear" w:color="auto" w:fill="auto"/>
          <w:lang w:val="zh-CN"/>
        </w:rPr>
        <w:fldChar w:fldCharType="begin"/>
      </w:r>
      <w:r>
        <w:rPr>
          <w:rFonts w:hint="eastAsia" w:ascii="宋体" w:hAnsi="宋体" w:eastAsia="宋体" w:cs="宋体"/>
          <w:sz w:val="28"/>
          <w:szCs w:val="28"/>
          <w:shd w:val="clear" w:color="auto" w:fill="auto"/>
          <w:lang w:val="zh-CN"/>
        </w:rPr>
        <w:instrText xml:space="preserve"> HYPERLINK \l _Toc27723 </w:instrText>
      </w:r>
      <w:r>
        <w:rPr>
          <w:rFonts w:hint="eastAsia" w:ascii="宋体" w:hAnsi="宋体" w:eastAsia="宋体" w:cs="宋体"/>
          <w:sz w:val="28"/>
          <w:szCs w:val="28"/>
          <w:shd w:val="clear" w:color="auto" w:fill="auto"/>
          <w:lang w:val="zh-CN"/>
        </w:rPr>
        <w:fldChar w:fldCharType="separate"/>
      </w:r>
      <w:r>
        <w:rPr>
          <w:rFonts w:hint="eastAsia" w:ascii="宋体" w:hAnsi="宋体" w:eastAsia="宋体" w:cs="宋体"/>
          <w:bCs w:val="0"/>
          <w:sz w:val="28"/>
          <w:szCs w:val="28"/>
        </w:rPr>
        <w:t>五、培养目标与培养规格</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_Toc27723 </w:instrText>
      </w:r>
      <w:r>
        <w:rPr>
          <w:rFonts w:hint="eastAsia" w:ascii="宋体" w:hAnsi="宋体" w:eastAsia="宋体" w:cs="宋体"/>
          <w:sz w:val="28"/>
          <w:szCs w:val="28"/>
        </w:rPr>
        <w:fldChar w:fldCharType="separate"/>
      </w:r>
      <w:r>
        <w:rPr>
          <w:rFonts w:hint="eastAsia" w:ascii="宋体" w:hAnsi="宋体" w:eastAsia="宋体" w:cs="宋体"/>
          <w:sz w:val="28"/>
          <w:szCs w:val="28"/>
        </w:rPr>
        <w:t>75</w:t>
      </w:r>
      <w:r>
        <w:rPr>
          <w:rFonts w:hint="eastAsia" w:ascii="宋体" w:hAnsi="宋体" w:eastAsia="宋体" w:cs="宋体"/>
          <w:sz w:val="28"/>
          <w:szCs w:val="28"/>
        </w:rPr>
        <w:fldChar w:fldCharType="end"/>
      </w:r>
      <w:r>
        <w:rPr>
          <w:rFonts w:hint="eastAsia" w:ascii="宋体" w:hAnsi="宋体" w:eastAsia="宋体" w:cs="宋体"/>
          <w:sz w:val="28"/>
          <w:szCs w:val="28"/>
          <w:shd w:val="clear" w:color="auto" w:fill="auto"/>
          <w:lang w:val="zh-CN"/>
        </w:rPr>
        <w:fldChar w:fldCharType="end"/>
      </w:r>
    </w:p>
    <w:p>
      <w:pPr>
        <w:pStyle w:val="8"/>
        <w:tabs>
          <w:tab w:val="right" w:leader="dot" w:pos="9070"/>
        </w:tabs>
        <w:rPr>
          <w:rFonts w:hint="eastAsia" w:ascii="宋体" w:hAnsi="宋体" w:eastAsia="宋体" w:cs="宋体"/>
          <w:sz w:val="28"/>
          <w:szCs w:val="28"/>
        </w:rPr>
      </w:pPr>
      <w:r>
        <w:rPr>
          <w:rFonts w:hint="eastAsia" w:ascii="宋体" w:hAnsi="宋体" w:eastAsia="宋体" w:cs="宋体"/>
          <w:sz w:val="28"/>
          <w:szCs w:val="28"/>
          <w:shd w:val="clear" w:color="auto" w:fill="auto"/>
          <w:lang w:val="zh-CN"/>
        </w:rPr>
        <w:fldChar w:fldCharType="begin"/>
      </w:r>
      <w:r>
        <w:rPr>
          <w:rFonts w:hint="eastAsia" w:ascii="宋体" w:hAnsi="宋体" w:eastAsia="宋体" w:cs="宋体"/>
          <w:sz w:val="28"/>
          <w:szCs w:val="28"/>
          <w:shd w:val="clear" w:color="auto" w:fill="auto"/>
          <w:lang w:val="zh-CN"/>
        </w:rPr>
        <w:instrText xml:space="preserve"> HYPERLINK \l _Toc17786 </w:instrText>
      </w:r>
      <w:r>
        <w:rPr>
          <w:rFonts w:hint="eastAsia" w:ascii="宋体" w:hAnsi="宋体" w:eastAsia="宋体" w:cs="宋体"/>
          <w:sz w:val="28"/>
          <w:szCs w:val="28"/>
          <w:shd w:val="clear" w:color="auto" w:fill="auto"/>
          <w:lang w:val="zh-CN"/>
        </w:rPr>
        <w:fldChar w:fldCharType="separate"/>
      </w:r>
      <w:r>
        <w:rPr>
          <w:rFonts w:hint="eastAsia" w:ascii="宋体" w:hAnsi="宋体" w:eastAsia="宋体" w:cs="宋体"/>
          <w:sz w:val="28"/>
          <w:szCs w:val="28"/>
        </w:rPr>
        <w:t xml:space="preserve">六、 </w:t>
      </w:r>
      <w:r>
        <w:rPr>
          <w:rFonts w:hint="eastAsia" w:ascii="宋体" w:hAnsi="宋体" w:eastAsia="宋体" w:cs="宋体"/>
          <w:bCs w:val="0"/>
          <w:sz w:val="28"/>
          <w:szCs w:val="28"/>
        </w:rPr>
        <w:t>课程设置及要求</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_Toc17786 </w:instrText>
      </w:r>
      <w:r>
        <w:rPr>
          <w:rFonts w:hint="eastAsia" w:ascii="宋体" w:hAnsi="宋体" w:eastAsia="宋体" w:cs="宋体"/>
          <w:sz w:val="28"/>
          <w:szCs w:val="28"/>
        </w:rPr>
        <w:fldChar w:fldCharType="separate"/>
      </w:r>
      <w:r>
        <w:rPr>
          <w:rFonts w:hint="eastAsia" w:ascii="宋体" w:hAnsi="宋体" w:eastAsia="宋体" w:cs="宋体"/>
          <w:sz w:val="28"/>
          <w:szCs w:val="28"/>
        </w:rPr>
        <w:t>78</w:t>
      </w:r>
      <w:r>
        <w:rPr>
          <w:rFonts w:hint="eastAsia" w:ascii="宋体" w:hAnsi="宋体" w:eastAsia="宋体" w:cs="宋体"/>
          <w:sz w:val="28"/>
          <w:szCs w:val="28"/>
        </w:rPr>
        <w:fldChar w:fldCharType="end"/>
      </w:r>
      <w:r>
        <w:rPr>
          <w:rFonts w:hint="eastAsia" w:ascii="宋体" w:hAnsi="宋体" w:eastAsia="宋体" w:cs="宋体"/>
          <w:sz w:val="28"/>
          <w:szCs w:val="28"/>
          <w:shd w:val="clear" w:color="auto" w:fill="auto"/>
          <w:lang w:val="zh-CN"/>
        </w:rPr>
        <w:fldChar w:fldCharType="end"/>
      </w:r>
    </w:p>
    <w:p>
      <w:pPr>
        <w:pStyle w:val="8"/>
        <w:tabs>
          <w:tab w:val="right" w:leader="dot" w:pos="9070"/>
        </w:tabs>
        <w:rPr>
          <w:rFonts w:hint="eastAsia" w:ascii="宋体" w:hAnsi="宋体" w:eastAsia="宋体" w:cs="宋体"/>
          <w:sz w:val="28"/>
          <w:szCs w:val="28"/>
        </w:rPr>
      </w:pPr>
      <w:r>
        <w:rPr>
          <w:rFonts w:hint="eastAsia" w:ascii="宋体" w:hAnsi="宋体" w:eastAsia="宋体" w:cs="宋体"/>
          <w:sz w:val="28"/>
          <w:szCs w:val="28"/>
          <w:shd w:val="clear" w:color="auto" w:fill="auto"/>
          <w:lang w:val="zh-CN"/>
        </w:rPr>
        <w:fldChar w:fldCharType="begin"/>
      </w:r>
      <w:r>
        <w:rPr>
          <w:rFonts w:hint="eastAsia" w:ascii="宋体" w:hAnsi="宋体" w:eastAsia="宋体" w:cs="宋体"/>
          <w:sz w:val="28"/>
          <w:szCs w:val="28"/>
          <w:shd w:val="clear" w:color="auto" w:fill="auto"/>
          <w:lang w:val="zh-CN"/>
        </w:rPr>
        <w:instrText xml:space="preserve"> HYPERLINK \l _Toc17292 </w:instrText>
      </w:r>
      <w:r>
        <w:rPr>
          <w:rFonts w:hint="eastAsia" w:ascii="宋体" w:hAnsi="宋体" w:eastAsia="宋体" w:cs="宋体"/>
          <w:sz w:val="28"/>
          <w:szCs w:val="28"/>
          <w:shd w:val="clear" w:color="auto" w:fill="auto"/>
          <w:lang w:val="zh-CN"/>
        </w:rPr>
        <w:fldChar w:fldCharType="separate"/>
      </w:r>
      <w:r>
        <w:rPr>
          <w:rFonts w:hint="eastAsia" w:ascii="宋体" w:hAnsi="宋体" w:eastAsia="宋体" w:cs="宋体"/>
          <w:bCs w:val="0"/>
          <w:sz w:val="28"/>
          <w:szCs w:val="28"/>
        </w:rPr>
        <w:t>七、教学进程总体安排</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_Toc17292 </w:instrText>
      </w:r>
      <w:r>
        <w:rPr>
          <w:rFonts w:hint="eastAsia" w:ascii="宋体" w:hAnsi="宋体" w:eastAsia="宋体" w:cs="宋体"/>
          <w:sz w:val="28"/>
          <w:szCs w:val="28"/>
        </w:rPr>
        <w:fldChar w:fldCharType="separate"/>
      </w:r>
      <w:r>
        <w:rPr>
          <w:rFonts w:hint="eastAsia" w:ascii="宋体" w:hAnsi="宋体" w:eastAsia="宋体" w:cs="宋体"/>
          <w:sz w:val="28"/>
          <w:szCs w:val="28"/>
        </w:rPr>
        <w:t>87</w:t>
      </w:r>
      <w:r>
        <w:rPr>
          <w:rFonts w:hint="eastAsia" w:ascii="宋体" w:hAnsi="宋体" w:eastAsia="宋体" w:cs="宋体"/>
          <w:sz w:val="28"/>
          <w:szCs w:val="28"/>
        </w:rPr>
        <w:fldChar w:fldCharType="end"/>
      </w:r>
      <w:r>
        <w:rPr>
          <w:rFonts w:hint="eastAsia" w:ascii="宋体" w:hAnsi="宋体" w:eastAsia="宋体" w:cs="宋体"/>
          <w:sz w:val="28"/>
          <w:szCs w:val="28"/>
          <w:shd w:val="clear" w:color="auto" w:fill="auto"/>
          <w:lang w:val="zh-CN"/>
        </w:rPr>
        <w:fldChar w:fldCharType="end"/>
      </w:r>
    </w:p>
    <w:p>
      <w:pPr>
        <w:pStyle w:val="8"/>
        <w:tabs>
          <w:tab w:val="right" w:leader="dot" w:pos="9070"/>
        </w:tabs>
        <w:rPr>
          <w:rFonts w:hint="eastAsia" w:ascii="宋体" w:hAnsi="宋体" w:eastAsia="宋体" w:cs="宋体"/>
          <w:sz w:val="28"/>
          <w:szCs w:val="28"/>
        </w:rPr>
      </w:pPr>
      <w:r>
        <w:rPr>
          <w:rFonts w:hint="eastAsia" w:ascii="宋体" w:hAnsi="宋体" w:eastAsia="宋体" w:cs="宋体"/>
          <w:sz w:val="28"/>
          <w:szCs w:val="28"/>
          <w:shd w:val="clear" w:color="auto" w:fill="auto"/>
          <w:lang w:val="zh-CN"/>
        </w:rPr>
        <w:fldChar w:fldCharType="begin"/>
      </w:r>
      <w:r>
        <w:rPr>
          <w:rFonts w:hint="eastAsia" w:ascii="宋体" w:hAnsi="宋体" w:eastAsia="宋体" w:cs="宋体"/>
          <w:sz w:val="28"/>
          <w:szCs w:val="28"/>
          <w:shd w:val="clear" w:color="auto" w:fill="auto"/>
          <w:lang w:val="zh-CN"/>
        </w:rPr>
        <w:instrText xml:space="preserve"> HYPERLINK \l _Toc18083 </w:instrText>
      </w:r>
      <w:r>
        <w:rPr>
          <w:rFonts w:hint="eastAsia" w:ascii="宋体" w:hAnsi="宋体" w:eastAsia="宋体" w:cs="宋体"/>
          <w:sz w:val="28"/>
          <w:szCs w:val="28"/>
          <w:shd w:val="clear" w:color="auto" w:fill="auto"/>
          <w:lang w:val="zh-CN"/>
        </w:rPr>
        <w:fldChar w:fldCharType="separate"/>
      </w:r>
      <w:r>
        <w:rPr>
          <w:rFonts w:hint="eastAsia" w:ascii="宋体" w:hAnsi="宋体" w:eastAsia="宋体" w:cs="宋体"/>
          <w:bCs w:val="0"/>
          <w:sz w:val="28"/>
          <w:szCs w:val="28"/>
        </w:rPr>
        <w:t>八、实施保障</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_Toc18083 </w:instrText>
      </w:r>
      <w:r>
        <w:rPr>
          <w:rFonts w:hint="eastAsia" w:ascii="宋体" w:hAnsi="宋体" w:eastAsia="宋体" w:cs="宋体"/>
          <w:sz w:val="28"/>
          <w:szCs w:val="28"/>
        </w:rPr>
        <w:fldChar w:fldCharType="separate"/>
      </w:r>
      <w:r>
        <w:rPr>
          <w:rFonts w:hint="eastAsia" w:ascii="宋体" w:hAnsi="宋体" w:eastAsia="宋体" w:cs="宋体"/>
          <w:sz w:val="28"/>
          <w:szCs w:val="28"/>
        </w:rPr>
        <w:t>89</w:t>
      </w:r>
      <w:r>
        <w:rPr>
          <w:rFonts w:hint="eastAsia" w:ascii="宋体" w:hAnsi="宋体" w:eastAsia="宋体" w:cs="宋体"/>
          <w:sz w:val="28"/>
          <w:szCs w:val="28"/>
        </w:rPr>
        <w:fldChar w:fldCharType="end"/>
      </w:r>
      <w:r>
        <w:rPr>
          <w:rFonts w:hint="eastAsia" w:ascii="宋体" w:hAnsi="宋体" w:eastAsia="宋体" w:cs="宋体"/>
          <w:sz w:val="28"/>
          <w:szCs w:val="28"/>
          <w:shd w:val="clear" w:color="auto" w:fill="auto"/>
          <w:lang w:val="zh-CN"/>
        </w:rPr>
        <w:fldChar w:fldCharType="end"/>
      </w:r>
    </w:p>
    <w:p>
      <w:pPr>
        <w:pStyle w:val="8"/>
        <w:tabs>
          <w:tab w:val="right" w:leader="dot" w:pos="9070"/>
        </w:tabs>
        <w:rPr>
          <w:rFonts w:hint="eastAsia" w:ascii="宋体" w:hAnsi="宋体" w:eastAsia="宋体" w:cs="宋体"/>
          <w:sz w:val="28"/>
          <w:szCs w:val="28"/>
        </w:rPr>
      </w:pPr>
      <w:r>
        <w:rPr>
          <w:rFonts w:hint="eastAsia" w:ascii="宋体" w:hAnsi="宋体" w:eastAsia="宋体" w:cs="宋体"/>
          <w:sz w:val="28"/>
          <w:szCs w:val="28"/>
          <w:shd w:val="clear" w:color="auto" w:fill="auto"/>
          <w:lang w:val="zh-CN"/>
        </w:rPr>
        <w:fldChar w:fldCharType="begin"/>
      </w:r>
      <w:r>
        <w:rPr>
          <w:rFonts w:hint="eastAsia" w:ascii="宋体" w:hAnsi="宋体" w:eastAsia="宋体" w:cs="宋体"/>
          <w:sz w:val="28"/>
          <w:szCs w:val="28"/>
          <w:shd w:val="clear" w:color="auto" w:fill="auto"/>
          <w:lang w:val="zh-CN"/>
        </w:rPr>
        <w:instrText xml:space="preserve"> HYPERLINK \l _Toc14055 </w:instrText>
      </w:r>
      <w:r>
        <w:rPr>
          <w:rFonts w:hint="eastAsia" w:ascii="宋体" w:hAnsi="宋体" w:eastAsia="宋体" w:cs="宋体"/>
          <w:sz w:val="28"/>
          <w:szCs w:val="28"/>
          <w:shd w:val="clear" w:color="auto" w:fill="auto"/>
          <w:lang w:val="zh-CN"/>
        </w:rPr>
        <w:fldChar w:fldCharType="separate"/>
      </w:r>
      <w:r>
        <w:rPr>
          <w:rFonts w:hint="eastAsia" w:ascii="宋体" w:hAnsi="宋体" w:eastAsia="宋体" w:cs="宋体"/>
          <w:bCs w:val="0"/>
          <w:sz w:val="28"/>
          <w:szCs w:val="28"/>
        </w:rPr>
        <w:t>九、毕业要求</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_Toc14055 </w:instrText>
      </w:r>
      <w:r>
        <w:rPr>
          <w:rFonts w:hint="eastAsia" w:ascii="宋体" w:hAnsi="宋体" w:eastAsia="宋体" w:cs="宋体"/>
          <w:sz w:val="28"/>
          <w:szCs w:val="28"/>
        </w:rPr>
        <w:fldChar w:fldCharType="separate"/>
      </w:r>
      <w:r>
        <w:rPr>
          <w:rFonts w:hint="eastAsia" w:ascii="宋体" w:hAnsi="宋体" w:eastAsia="宋体" w:cs="宋体"/>
          <w:sz w:val="28"/>
          <w:szCs w:val="28"/>
        </w:rPr>
        <w:t>95</w:t>
      </w:r>
      <w:r>
        <w:rPr>
          <w:rFonts w:hint="eastAsia" w:ascii="宋体" w:hAnsi="宋体" w:eastAsia="宋体" w:cs="宋体"/>
          <w:sz w:val="28"/>
          <w:szCs w:val="28"/>
        </w:rPr>
        <w:fldChar w:fldCharType="end"/>
      </w:r>
      <w:r>
        <w:rPr>
          <w:rFonts w:hint="eastAsia" w:ascii="宋体" w:hAnsi="宋体" w:eastAsia="宋体" w:cs="宋体"/>
          <w:sz w:val="28"/>
          <w:szCs w:val="28"/>
          <w:shd w:val="clear" w:color="auto" w:fill="auto"/>
          <w:lang w:val="zh-CN"/>
        </w:rPr>
        <w:fldChar w:fldCharType="end"/>
      </w:r>
    </w:p>
    <w:p>
      <w:pPr>
        <w:pStyle w:val="8"/>
        <w:tabs>
          <w:tab w:val="right" w:leader="dot" w:pos="9070"/>
        </w:tabs>
        <w:rPr>
          <w:rFonts w:hint="eastAsia" w:ascii="宋体" w:hAnsi="宋体" w:eastAsia="宋体" w:cs="宋体"/>
          <w:sz w:val="28"/>
          <w:szCs w:val="28"/>
        </w:rPr>
      </w:pPr>
      <w:r>
        <w:rPr>
          <w:rFonts w:hint="eastAsia" w:ascii="宋体" w:hAnsi="宋体" w:eastAsia="宋体" w:cs="宋体"/>
          <w:sz w:val="28"/>
          <w:szCs w:val="28"/>
          <w:shd w:val="clear" w:color="auto" w:fill="auto"/>
          <w:lang w:val="zh-CN"/>
        </w:rPr>
        <w:fldChar w:fldCharType="begin"/>
      </w:r>
      <w:r>
        <w:rPr>
          <w:rFonts w:hint="eastAsia" w:ascii="宋体" w:hAnsi="宋体" w:eastAsia="宋体" w:cs="宋体"/>
          <w:sz w:val="28"/>
          <w:szCs w:val="28"/>
          <w:shd w:val="clear" w:color="auto" w:fill="auto"/>
          <w:lang w:val="zh-CN"/>
        </w:rPr>
        <w:instrText xml:space="preserve"> HYPERLINK \l _Toc25910 </w:instrText>
      </w:r>
      <w:r>
        <w:rPr>
          <w:rFonts w:hint="eastAsia" w:ascii="宋体" w:hAnsi="宋体" w:eastAsia="宋体" w:cs="宋体"/>
          <w:sz w:val="28"/>
          <w:szCs w:val="28"/>
          <w:shd w:val="clear" w:color="auto" w:fill="auto"/>
          <w:lang w:val="zh-CN"/>
        </w:rPr>
        <w:fldChar w:fldCharType="separate"/>
      </w:r>
      <w:r>
        <w:rPr>
          <w:rFonts w:hint="eastAsia" w:ascii="宋体" w:hAnsi="宋体" w:eastAsia="宋体" w:cs="宋体"/>
          <w:bCs w:val="0"/>
          <w:sz w:val="28"/>
          <w:szCs w:val="28"/>
          <w:lang w:val="en-US" w:eastAsia="zh-CN"/>
        </w:rPr>
        <w:t>十、</w:t>
      </w:r>
      <w:r>
        <w:rPr>
          <w:rFonts w:hint="eastAsia" w:ascii="宋体" w:hAnsi="宋体" w:eastAsia="宋体" w:cs="宋体"/>
          <w:bCs w:val="0"/>
          <w:sz w:val="28"/>
          <w:szCs w:val="28"/>
        </w:rPr>
        <w:t>附录</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_Toc25910 </w:instrText>
      </w:r>
      <w:r>
        <w:rPr>
          <w:rFonts w:hint="eastAsia" w:ascii="宋体" w:hAnsi="宋体" w:eastAsia="宋体" w:cs="宋体"/>
          <w:sz w:val="28"/>
          <w:szCs w:val="28"/>
        </w:rPr>
        <w:fldChar w:fldCharType="separate"/>
      </w:r>
      <w:r>
        <w:rPr>
          <w:rFonts w:hint="eastAsia" w:ascii="宋体" w:hAnsi="宋体" w:eastAsia="宋体" w:cs="宋体"/>
          <w:sz w:val="28"/>
          <w:szCs w:val="28"/>
        </w:rPr>
        <w:t>96</w:t>
      </w:r>
      <w:r>
        <w:rPr>
          <w:rFonts w:hint="eastAsia" w:ascii="宋体" w:hAnsi="宋体" w:eastAsia="宋体" w:cs="宋体"/>
          <w:sz w:val="28"/>
          <w:szCs w:val="28"/>
        </w:rPr>
        <w:fldChar w:fldCharType="end"/>
      </w:r>
      <w:r>
        <w:rPr>
          <w:rFonts w:hint="eastAsia" w:ascii="宋体" w:hAnsi="宋体" w:eastAsia="宋体" w:cs="宋体"/>
          <w:sz w:val="28"/>
          <w:szCs w:val="28"/>
          <w:shd w:val="clear" w:color="auto" w:fill="auto"/>
          <w:lang w:val="zh-CN"/>
        </w:rPr>
        <w:fldChar w:fldCharType="end"/>
      </w:r>
    </w:p>
    <w:p>
      <w:pPr>
        <w:pStyle w:val="8"/>
        <w:tabs>
          <w:tab w:val="right" w:leader="dot" w:pos="9060"/>
        </w:tabs>
        <w:rPr>
          <w:sz w:val="28"/>
          <w:szCs w:val="28"/>
        </w:rPr>
      </w:pPr>
      <w:r>
        <w:rPr>
          <w:rFonts w:hint="eastAsia" w:ascii="宋体" w:hAnsi="宋体" w:eastAsia="宋体" w:cs="宋体"/>
          <w:sz w:val="28"/>
          <w:szCs w:val="28"/>
          <w:shd w:val="clear" w:color="auto" w:fill="auto"/>
          <w:lang w:val="zh-CN"/>
        </w:rPr>
        <w:fldChar w:fldCharType="end"/>
      </w:r>
    </w:p>
    <w:p>
      <w:pPr>
        <w:pStyle w:val="3"/>
        <w:spacing w:after="0" w:line="240" w:lineRule="auto"/>
        <w:ind w:firstLine="720" w:firstLineChars="200"/>
        <w:jc w:val="left"/>
        <w:sectPr>
          <w:footerReference r:id="rId5" w:type="default"/>
          <w:pgSz w:w="11906" w:h="16838"/>
          <w:pgMar w:top="1418" w:right="1418" w:bottom="1418" w:left="1418" w:header="454" w:footer="1021" w:gutter="0"/>
          <w:pgNumType w:fmt="decimal" w:start="1"/>
          <w:cols w:space="720" w:num="1"/>
          <w:docGrid w:type="lines" w:linePitch="312" w:charSpace="0"/>
        </w:sectPr>
      </w:pPr>
    </w:p>
    <w:p>
      <w:pPr>
        <w:bidi w:val="0"/>
        <w:jc w:val="center"/>
        <w:rPr>
          <w:rFonts w:hint="eastAsia" w:ascii="黑体" w:hAnsi="黑体" w:eastAsia="黑体" w:cs="黑体"/>
          <w:b/>
          <w:bCs/>
          <w:sz w:val="36"/>
          <w:szCs w:val="36"/>
        </w:rPr>
        <w:sectPr>
          <w:footerReference r:id="rId6" w:type="default"/>
          <w:pgSz w:w="11906" w:h="16838"/>
          <w:pgMar w:top="1440" w:right="1800" w:bottom="1440" w:left="1800" w:header="851" w:footer="992" w:gutter="0"/>
          <w:pgNumType w:fmt="decimal"/>
          <w:cols w:space="425" w:num="1"/>
          <w:docGrid w:type="lines" w:linePitch="312" w:charSpace="0"/>
        </w:sectPr>
      </w:pPr>
    </w:p>
    <w:p>
      <w:pPr>
        <w:bidi w:val="0"/>
        <w:jc w:val="center"/>
        <w:rPr>
          <w:rFonts w:hint="eastAsia" w:ascii="黑体" w:hAnsi="黑体" w:eastAsia="黑体" w:cs="黑体"/>
          <w:b/>
          <w:bCs/>
          <w:sz w:val="36"/>
          <w:szCs w:val="36"/>
        </w:rPr>
      </w:pPr>
      <w:r>
        <w:rPr>
          <w:rFonts w:hint="eastAsia" w:ascii="黑体" w:hAnsi="黑体" w:eastAsia="黑体" w:cs="黑体"/>
          <w:b/>
          <w:bCs/>
          <w:sz w:val="36"/>
          <w:szCs w:val="36"/>
        </w:rPr>
        <w:t>数控技术应用专业人才培养方案</w:t>
      </w:r>
    </w:p>
    <w:p/>
    <w:p>
      <w:pPr>
        <w:pStyle w:val="3"/>
        <w:spacing w:after="0" w:line="500" w:lineRule="exact"/>
        <w:ind w:firstLine="562" w:firstLineChars="200"/>
        <w:jc w:val="left"/>
        <w:rPr>
          <w:rFonts w:ascii="黑体" w:hAnsi="黑体" w:eastAsia="黑体"/>
          <w:b/>
          <w:bCs w:val="0"/>
          <w:sz w:val="28"/>
          <w:szCs w:val="28"/>
        </w:rPr>
      </w:pPr>
      <w:bookmarkStart w:id="0" w:name="_Toc28833"/>
      <w:r>
        <w:rPr>
          <w:rFonts w:hint="eastAsia" w:ascii="黑体" w:hAnsi="黑体" w:eastAsia="黑体"/>
          <w:b/>
          <w:bCs w:val="0"/>
          <w:sz w:val="28"/>
          <w:szCs w:val="28"/>
        </w:rPr>
        <w:t>一、专业名称（专业代码）</w:t>
      </w:r>
      <w:bookmarkEnd w:id="0"/>
    </w:p>
    <w:p>
      <w:pPr>
        <w:spacing w:line="500" w:lineRule="exact"/>
        <w:ind w:firstLine="560" w:firstLineChars="200"/>
        <w:jc w:val="left"/>
        <w:rPr>
          <w:rFonts w:ascii="宋体" w:hAnsi="宋体"/>
          <w:sz w:val="28"/>
          <w:szCs w:val="28"/>
        </w:rPr>
      </w:pPr>
      <w:r>
        <w:rPr>
          <w:rFonts w:hint="eastAsia" w:ascii="宋体" w:hAnsi="宋体"/>
          <w:sz w:val="28"/>
          <w:szCs w:val="28"/>
        </w:rPr>
        <w:t>数控技术应用 (660103)</w:t>
      </w:r>
    </w:p>
    <w:p>
      <w:pPr>
        <w:pStyle w:val="3"/>
        <w:spacing w:after="0" w:line="500" w:lineRule="exact"/>
        <w:ind w:firstLine="562" w:firstLineChars="200"/>
        <w:jc w:val="left"/>
        <w:rPr>
          <w:rFonts w:ascii="黑体" w:hAnsi="黑体" w:eastAsia="黑体"/>
          <w:b/>
          <w:bCs w:val="0"/>
          <w:sz w:val="28"/>
          <w:szCs w:val="28"/>
        </w:rPr>
      </w:pPr>
      <w:bookmarkStart w:id="1" w:name="_Toc18010"/>
      <w:r>
        <w:rPr>
          <w:rFonts w:hint="eastAsia" w:ascii="黑体" w:hAnsi="黑体" w:eastAsia="黑体"/>
          <w:b/>
          <w:bCs w:val="0"/>
          <w:sz w:val="28"/>
          <w:szCs w:val="28"/>
        </w:rPr>
        <w:t>二、入学要求</w:t>
      </w:r>
      <w:bookmarkEnd w:id="1"/>
    </w:p>
    <w:p>
      <w:pPr>
        <w:spacing w:line="500" w:lineRule="exact"/>
        <w:ind w:firstLine="560" w:firstLineChars="200"/>
        <w:jc w:val="left"/>
        <w:rPr>
          <w:rFonts w:ascii="宋体" w:hAnsi="宋体"/>
          <w:sz w:val="28"/>
          <w:szCs w:val="28"/>
        </w:rPr>
      </w:pPr>
      <w:r>
        <w:rPr>
          <w:rFonts w:hint="eastAsia" w:ascii="宋体" w:hAnsi="宋体"/>
          <w:sz w:val="28"/>
          <w:szCs w:val="28"/>
        </w:rPr>
        <w:t>初中毕业或具有同等学力者</w:t>
      </w:r>
    </w:p>
    <w:p>
      <w:pPr>
        <w:pStyle w:val="3"/>
        <w:spacing w:after="0" w:line="500" w:lineRule="exact"/>
        <w:ind w:firstLine="562" w:firstLineChars="200"/>
        <w:jc w:val="left"/>
        <w:rPr>
          <w:rFonts w:ascii="黑体" w:hAnsi="黑体" w:eastAsia="黑体"/>
          <w:b/>
          <w:bCs w:val="0"/>
          <w:sz w:val="28"/>
          <w:szCs w:val="28"/>
        </w:rPr>
      </w:pPr>
      <w:bookmarkStart w:id="2" w:name="_Toc23694"/>
      <w:bookmarkStart w:id="3" w:name="_Toc24111_WPSOffice_Level2"/>
      <w:bookmarkStart w:id="4" w:name="_Toc8119_WPSOffice_Level1"/>
      <w:bookmarkStart w:id="5" w:name="_Toc475975511"/>
      <w:bookmarkStart w:id="6" w:name="_Toc14076"/>
      <w:r>
        <w:rPr>
          <w:rFonts w:hint="eastAsia" w:ascii="黑体" w:hAnsi="黑体" w:eastAsia="黑体"/>
          <w:b/>
          <w:bCs w:val="0"/>
          <w:sz w:val="28"/>
          <w:szCs w:val="28"/>
        </w:rPr>
        <w:t>三、</w:t>
      </w:r>
      <w:bookmarkEnd w:id="2"/>
      <w:bookmarkEnd w:id="3"/>
      <w:bookmarkEnd w:id="4"/>
      <w:bookmarkEnd w:id="5"/>
      <w:r>
        <w:rPr>
          <w:rFonts w:hint="eastAsia" w:ascii="黑体" w:hAnsi="黑体" w:eastAsia="黑体"/>
          <w:b/>
          <w:bCs w:val="0"/>
          <w:sz w:val="28"/>
          <w:szCs w:val="28"/>
        </w:rPr>
        <w:t>修业年限</w:t>
      </w:r>
      <w:bookmarkEnd w:id="6"/>
    </w:p>
    <w:p>
      <w:pPr>
        <w:spacing w:line="500" w:lineRule="exact"/>
        <w:ind w:firstLine="560" w:firstLineChars="200"/>
        <w:jc w:val="left"/>
        <w:rPr>
          <w:rFonts w:ascii="宋体" w:hAnsi="宋体"/>
          <w:sz w:val="28"/>
          <w:szCs w:val="28"/>
        </w:rPr>
      </w:pPr>
      <w:r>
        <w:rPr>
          <w:rFonts w:hint="eastAsia" w:ascii="宋体" w:hAnsi="宋体"/>
          <w:sz w:val="28"/>
          <w:szCs w:val="28"/>
        </w:rPr>
        <w:t>3年</w:t>
      </w:r>
    </w:p>
    <w:p>
      <w:pPr>
        <w:pStyle w:val="3"/>
        <w:spacing w:after="0" w:line="500" w:lineRule="exact"/>
        <w:ind w:firstLine="562" w:firstLineChars="200"/>
        <w:jc w:val="left"/>
        <w:rPr>
          <w:rFonts w:ascii="黑体" w:hAnsi="黑体" w:eastAsia="黑体"/>
          <w:b/>
          <w:bCs w:val="0"/>
          <w:sz w:val="28"/>
          <w:szCs w:val="28"/>
        </w:rPr>
      </w:pPr>
      <w:bookmarkStart w:id="7" w:name="_Toc10976"/>
      <w:r>
        <w:rPr>
          <w:rFonts w:hint="eastAsia" w:ascii="黑体" w:hAnsi="黑体" w:eastAsia="黑体"/>
          <w:b/>
          <w:bCs w:val="0"/>
          <w:sz w:val="28"/>
          <w:szCs w:val="28"/>
        </w:rPr>
        <w:t>四、职业面向</w:t>
      </w:r>
      <w:bookmarkEnd w:id="7"/>
    </w:p>
    <w:p>
      <w:pPr>
        <w:rPr>
          <w:szCs w:val="21"/>
        </w:rPr>
      </w:pPr>
    </w:p>
    <w:tbl>
      <w:tblPr>
        <w:tblStyle w:val="9"/>
        <w:tblW w:w="861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4"/>
        <w:gridCol w:w="907"/>
        <w:gridCol w:w="2126"/>
        <w:gridCol w:w="1767"/>
        <w:gridCol w:w="1635"/>
        <w:gridCol w:w="153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5" w:hRule="atLeast"/>
          <w:jc w:val="center"/>
        </w:trPr>
        <w:tc>
          <w:tcPr>
            <w:tcW w:w="1561" w:type="dxa"/>
            <w:gridSpan w:val="2"/>
            <w:noWrap w:val="0"/>
            <w:vAlign w:val="center"/>
          </w:tcPr>
          <w:p>
            <w:pPr>
              <w:spacing w:line="240" w:lineRule="auto"/>
              <w:jc w:val="center"/>
              <w:rPr>
                <w:rFonts w:hint="eastAsia" w:ascii="宋体" w:hAnsi="宋体" w:eastAsia="宋体" w:cs="宋体"/>
                <w:b/>
                <w:szCs w:val="21"/>
              </w:rPr>
            </w:pPr>
            <w:r>
              <w:rPr>
                <w:rFonts w:hint="eastAsia" w:ascii="宋体" w:hAnsi="宋体" w:eastAsia="宋体" w:cs="宋体"/>
                <w:b/>
                <w:szCs w:val="21"/>
              </w:rPr>
              <w:t>所属大类</w:t>
            </w:r>
          </w:p>
        </w:tc>
        <w:tc>
          <w:tcPr>
            <w:tcW w:w="3893" w:type="dxa"/>
            <w:gridSpan w:val="2"/>
            <w:noWrap w:val="0"/>
            <w:vAlign w:val="center"/>
          </w:tcPr>
          <w:p>
            <w:pPr>
              <w:spacing w:line="240" w:lineRule="auto"/>
              <w:jc w:val="center"/>
              <w:rPr>
                <w:rFonts w:hint="eastAsia" w:ascii="宋体" w:hAnsi="宋体" w:eastAsia="宋体" w:cs="宋体"/>
                <w:b/>
                <w:szCs w:val="21"/>
              </w:rPr>
            </w:pPr>
            <w:r>
              <w:rPr>
                <w:rFonts w:hint="eastAsia" w:ascii="宋体" w:hAnsi="宋体" w:eastAsia="宋体" w:cs="宋体"/>
                <w:b/>
                <w:color w:val="000000"/>
                <w:kern w:val="0"/>
                <w:szCs w:val="21"/>
                <w:lang w:val="en-US" w:eastAsia="zh-CN" w:bidi="ar"/>
              </w:rPr>
              <w:t>装备制造大类（56）</w:t>
            </w:r>
          </w:p>
        </w:tc>
        <w:tc>
          <w:tcPr>
            <w:tcW w:w="1635" w:type="dxa"/>
            <w:noWrap w:val="0"/>
            <w:vAlign w:val="center"/>
          </w:tcPr>
          <w:p>
            <w:pPr>
              <w:spacing w:line="240" w:lineRule="auto"/>
              <w:jc w:val="center"/>
              <w:rPr>
                <w:rFonts w:hint="eastAsia" w:ascii="宋体" w:hAnsi="宋体" w:eastAsia="宋体" w:cs="宋体"/>
                <w:b/>
                <w:color w:val="FF0000"/>
                <w:szCs w:val="21"/>
              </w:rPr>
            </w:pPr>
            <w:r>
              <w:rPr>
                <w:rFonts w:hint="eastAsia" w:ascii="宋体" w:hAnsi="宋体" w:eastAsia="宋体" w:cs="宋体"/>
                <w:b/>
                <w:szCs w:val="21"/>
              </w:rPr>
              <w:t>专业代码</w:t>
            </w:r>
          </w:p>
        </w:tc>
        <w:tc>
          <w:tcPr>
            <w:tcW w:w="1530" w:type="dxa"/>
            <w:noWrap w:val="0"/>
            <w:vAlign w:val="center"/>
          </w:tcPr>
          <w:p>
            <w:pPr>
              <w:spacing w:line="240" w:lineRule="auto"/>
              <w:jc w:val="center"/>
              <w:rPr>
                <w:rFonts w:hint="eastAsia" w:ascii="宋体" w:hAnsi="宋体" w:eastAsia="宋体" w:cs="宋体"/>
                <w:b/>
                <w:color w:val="FF0000"/>
                <w:szCs w:val="21"/>
              </w:rPr>
            </w:pPr>
            <w:r>
              <w:rPr>
                <w:rFonts w:hint="eastAsia" w:ascii="宋体" w:hAnsi="宋体" w:eastAsia="宋体" w:cs="宋体"/>
                <w:b/>
                <w:szCs w:val="21"/>
              </w:rPr>
              <w:t>660103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5" w:hRule="atLeast"/>
          <w:jc w:val="center"/>
        </w:trPr>
        <w:tc>
          <w:tcPr>
            <w:tcW w:w="654" w:type="dxa"/>
            <w:noWrap w:val="0"/>
            <w:vAlign w:val="center"/>
          </w:tcPr>
          <w:p>
            <w:pPr>
              <w:spacing w:line="240" w:lineRule="auto"/>
              <w:jc w:val="center"/>
              <w:rPr>
                <w:rFonts w:hint="eastAsia" w:ascii="宋体" w:hAnsi="宋体" w:eastAsia="宋体" w:cs="宋体"/>
                <w:b/>
                <w:szCs w:val="21"/>
              </w:rPr>
            </w:pPr>
            <w:r>
              <w:rPr>
                <w:rFonts w:hint="eastAsia" w:ascii="宋体" w:hAnsi="宋体" w:eastAsia="宋体" w:cs="宋体"/>
                <w:b/>
                <w:szCs w:val="21"/>
              </w:rPr>
              <w:t>序号</w:t>
            </w:r>
          </w:p>
        </w:tc>
        <w:tc>
          <w:tcPr>
            <w:tcW w:w="907" w:type="dxa"/>
            <w:noWrap w:val="0"/>
            <w:vAlign w:val="center"/>
          </w:tcPr>
          <w:p>
            <w:pPr>
              <w:spacing w:line="240" w:lineRule="auto"/>
              <w:jc w:val="center"/>
              <w:rPr>
                <w:rFonts w:hint="eastAsia" w:ascii="宋体" w:hAnsi="宋体" w:eastAsia="宋体" w:cs="宋体"/>
                <w:b/>
                <w:szCs w:val="21"/>
              </w:rPr>
            </w:pPr>
            <w:r>
              <w:rPr>
                <w:rFonts w:hint="eastAsia" w:ascii="宋体" w:hAnsi="宋体" w:eastAsia="宋体" w:cs="宋体"/>
                <w:b/>
                <w:szCs w:val="21"/>
              </w:rPr>
              <w:t>对应</w:t>
            </w:r>
          </w:p>
          <w:p>
            <w:pPr>
              <w:spacing w:line="240" w:lineRule="auto"/>
              <w:jc w:val="center"/>
              <w:rPr>
                <w:rFonts w:hint="eastAsia" w:ascii="宋体" w:hAnsi="宋体" w:eastAsia="宋体" w:cs="宋体"/>
                <w:b/>
                <w:szCs w:val="21"/>
              </w:rPr>
            </w:pPr>
            <w:r>
              <w:rPr>
                <w:rFonts w:hint="eastAsia" w:ascii="宋体" w:hAnsi="宋体" w:eastAsia="宋体" w:cs="宋体"/>
                <w:b/>
                <w:szCs w:val="21"/>
              </w:rPr>
              <w:t>行业</w:t>
            </w:r>
          </w:p>
        </w:tc>
        <w:tc>
          <w:tcPr>
            <w:tcW w:w="2126" w:type="dxa"/>
            <w:noWrap w:val="0"/>
            <w:vAlign w:val="center"/>
          </w:tcPr>
          <w:p>
            <w:pPr>
              <w:spacing w:line="240" w:lineRule="auto"/>
              <w:jc w:val="center"/>
              <w:rPr>
                <w:rFonts w:hint="eastAsia" w:ascii="宋体" w:hAnsi="宋体" w:eastAsia="宋体" w:cs="宋体"/>
                <w:b/>
                <w:szCs w:val="21"/>
              </w:rPr>
            </w:pPr>
            <w:r>
              <w:rPr>
                <w:rFonts w:hint="eastAsia" w:ascii="宋体" w:hAnsi="宋体" w:eastAsia="宋体" w:cs="宋体"/>
                <w:b/>
                <w:szCs w:val="21"/>
              </w:rPr>
              <w:t>职业类别</w:t>
            </w:r>
          </w:p>
        </w:tc>
        <w:tc>
          <w:tcPr>
            <w:tcW w:w="1767" w:type="dxa"/>
            <w:noWrap w:val="0"/>
            <w:vAlign w:val="center"/>
          </w:tcPr>
          <w:p>
            <w:pPr>
              <w:spacing w:line="240" w:lineRule="auto"/>
              <w:jc w:val="center"/>
              <w:rPr>
                <w:rFonts w:hint="eastAsia" w:ascii="宋体" w:hAnsi="宋体" w:eastAsia="宋体" w:cs="宋体"/>
                <w:b/>
                <w:szCs w:val="21"/>
              </w:rPr>
            </w:pPr>
            <w:r>
              <w:rPr>
                <w:rFonts w:hint="eastAsia" w:ascii="宋体" w:hAnsi="宋体" w:eastAsia="宋体" w:cs="宋体"/>
                <w:b/>
                <w:szCs w:val="21"/>
              </w:rPr>
              <w:t>工作岗位</w:t>
            </w:r>
          </w:p>
        </w:tc>
        <w:tc>
          <w:tcPr>
            <w:tcW w:w="1635" w:type="dxa"/>
            <w:noWrap w:val="0"/>
            <w:vAlign w:val="center"/>
          </w:tcPr>
          <w:p>
            <w:pPr>
              <w:spacing w:line="240" w:lineRule="auto"/>
              <w:jc w:val="center"/>
              <w:rPr>
                <w:rFonts w:hint="eastAsia" w:ascii="宋体" w:hAnsi="宋体" w:eastAsia="宋体" w:cs="宋体"/>
                <w:b/>
                <w:szCs w:val="21"/>
              </w:rPr>
            </w:pPr>
            <w:r>
              <w:rPr>
                <w:rFonts w:hint="eastAsia" w:ascii="宋体" w:hAnsi="宋体" w:eastAsia="宋体" w:cs="宋体"/>
                <w:b/>
                <w:szCs w:val="21"/>
              </w:rPr>
              <w:t>职业技能等级</w:t>
            </w:r>
          </w:p>
        </w:tc>
        <w:tc>
          <w:tcPr>
            <w:tcW w:w="1530" w:type="dxa"/>
            <w:noWrap w:val="0"/>
            <w:vAlign w:val="center"/>
          </w:tcPr>
          <w:p>
            <w:pPr>
              <w:spacing w:line="240" w:lineRule="auto"/>
              <w:jc w:val="center"/>
              <w:rPr>
                <w:rFonts w:hint="eastAsia" w:ascii="宋体" w:hAnsi="宋体" w:eastAsia="宋体" w:cs="宋体"/>
                <w:b/>
                <w:szCs w:val="21"/>
              </w:rPr>
            </w:pPr>
            <w:r>
              <w:rPr>
                <w:rFonts w:hint="eastAsia" w:ascii="宋体" w:hAnsi="宋体" w:eastAsia="宋体" w:cs="宋体"/>
                <w:b/>
                <w:szCs w:val="21"/>
              </w:rPr>
              <w:t>行业企业证书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7" w:hRule="atLeast"/>
          <w:jc w:val="center"/>
        </w:trPr>
        <w:tc>
          <w:tcPr>
            <w:tcW w:w="654" w:type="dxa"/>
            <w:noWrap w:val="0"/>
            <w:vAlign w:val="center"/>
          </w:tcPr>
          <w:p>
            <w:pPr>
              <w:spacing w:line="240" w:lineRule="auto"/>
              <w:jc w:val="center"/>
              <w:rPr>
                <w:rFonts w:hint="eastAsia" w:ascii="宋体" w:hAnsi="宋体" w:eastAsia="宋体" w:cs="宋体"/>
                <w:szCs w:val="21"/>
              </w:rPr>
            </w:pPr>
            <w:r>
              <w:rPr>
                <w:rFonts w:hint="eastAsia" w:ascii="宋体" w:hAnsi="宋体" w:eastAsia="宋体" w:cs="宋体"/>
                <w:szCs w:val="21"/>
              </w:rPr>
              <w:t>1</w:t>
            </w:r>
          </w:p>
        </w:tc>
        <w:tc>
          <w:tcPr>
            <w:tcW w:w="907" w:type="dxa"/>
            <w:vMerge w:val="restart"/>
            <w:noWrap w:val="0"/>
            <w:vAlign w:val="center"/>
          </w:tcPr>
          <w:p>
            <w:pPr>
              <w:tabs>
                <w:tab w:val="left" w:pos="358"/>
              </w:tabs>
              <w:spacing w:line="240" w:lineRule="auto"/>
              <w:jc w:val="center"/>
              <w:rPr>
                <w:rFonts w:hint="eastAsia" w:ascii="宋体" w:hAnsi="宋体" w:eastAsia="宋体" w:cs="宋体"/>
                <w:szCs w:val="21"/>
              </w:rPr>
            </w:pPr>
            <w:r>
              <w:rPr>
                <w:rFonts w:hint="eastAsia" w:ascii="宋体" w:hAnsi="宋体" w:eastAsia="宋体" w:cs="宋体"/>
                <w:szCs w:val="21"/>
              </w:rPr>
              <w:t>机械</w:t>
            </w:r>
          </w:p>
        </w:tc>
        <w:tc>
          <w:tcPr>
            <w:tcW w:w="2126" w:type="dxa"/>
            <w:noWrap w:val="0"/>
            <w:vAlign w:val="center"/>
          </w:tcPr>
          <w:p>
            <w:pPr>
              <w:tabs>
                <w:tab w:val="left" w:pos="358"/>
              </w:tabs>
              <w:spacing w:line="240" w:lineRule="auto"/>
              <w:jc w:val="center"/>
              <w:rPr>
                <w:rFonts w:hint="eastAsia" w:ascii="宋体" w:hAnsi="宋体" w:eastAsia="宋体" w:cs="宋体"/>
                <w:szCs w:val="21"/>
              </w:rPr>
            </w:pPr>
            <w:r>
              <w:rPr>
                <w:rFonts w:hint="eastAsia" w:ascii="宋体" w:hAnsi="宋体" w:eastAsia="宋体" w:cs="宋体"/>
                <w:szCs w:val="21"/>
              </w:rPr>
              <w:t>数控车床操作与加工</w:t>
            </w:r>
          </w:p>
        </w:tc>
        <w:tc>
          <w:tcPr>
            <w:tcW w:w="1767" w:type="dxa"/>
            <w:noWrap w:val="0"/>
            <w:vAlign w:val="center"/>
          </w:tcPr>
          <w:p>
            <w:pPr>
              <w:tabs>
                <w:tab w:val="left" w:pos="358"/>
              </w:tabs>
              <w:spacing w:line="240" w:lineRule="auto"/>
              <w:jc w:val="center"/>
              <w:rPr>
                <w:rFonts w:hint="eastAsia" w:ascii="宋体" w:hAnsi="宋体" w:eastAsia="宋体" w:cs="宋体"/>
                <w:szCs w:val="21"/>
              </w:rPr>
            </w:pPr>
            <w:r>
              <w:rPr>
                <w:rFonts w:hint="eastAsia" w:ascii="宋体" w:hAnsi="宋体" w:eastAsia="宋体" w:cs="宋体"/>
                <w:szCs w:val="21"/>
              </w:rPr>
              <w:t>数控车工</w:t>
            </w:r>
          </w:p>
        </w:tc>
        <w:tc>
          <w:tcPr>
            <w:tcW w:w="1635" w:type="dxa"/>
            <w:noWrap w:val="0"/>
            <w:vAlign w:val="center"/>
          </w:tcPr>
          <w:p>
            <w:pPr>
              <w:tabs>
                <w:tab w:val="left" w:pos="358"/>
              </w:tabs>
              <w:spacing w:line="240" w:lineRule="auto"/>
              <w:jc w:val="center"/>
              <w:rPr>
                <w:rFonts w:hint="eastAsia" w:ascii="宋体" w:hAnsi="宋体" w:eastAsia="宋体" w:cs="宋体"/>
                <w:szCs w:val="21"/>
              </w:rPr>
            </w:pPr>
            <w:r>
              <w:rPr>
                <w:rFonts w:hint="eastAsia" w:ascii="宋体" w:hAnsi="宋体" w:eastAsia="宋体" w:cs="宋体"/>
                <w:szCs w:val="21"/>
              </w:rPr>
              <w:t>数控车工</w:t>
            </w:r>
          </w:p>
        </w:tc>
        <w:tc>
          <w:tcPr>
            <w:tcW w:w="1530" w:type="dxa"/>
            <w:vMerge w:val="restart"/>
            <w:noWrap w:val="0"/>
            <w:vAlign w:val="center"/>
          </w:tcPr>
          <w:p>
            <w:pPr>
              <w:spacing w:line="240" w:lineRule="auto"/>
              <w:jc w:val="center"/>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7" w:hRule="atLeast"/>
          <w:jc w:val="center"/>
        </w:trPr>
        <w:tc>
          <w:tcPr>
            <w:tcW w:w="654" w:type="dxa"/>
            <w:noWrap w:val="0"/>
            <w:vAlign w:val="center"/>
          </w:tcPr>
          <w:p>
            <w:pPr>
              <w:spacing w:line="240" w:lineRule="auto"/>
              <w:jc w:val="center"/>
              <w:rPr>
                <w:rFonts w:hint="eastAsia" w:ascii="宋体" w:hAnsi="宋体" w:eastAsia="宋体" w:cs="宋体"/>
                <w:szCs w:val="21"/>
              </w:rPr>
            </w:pPr>
            <w:r>
              <w:rPr>
                <w:rFonts w:hint="eastAsia" w:ascii="宋体" w:hAnsi="宋体" w:eastAsia="宋体" w:cs="宋体"/>
                <w:szCs w:val="21"/>
              </w:rPr>
              <w:t>2</w:t>
            </w:r>
          </w:p>
        </w:tc>
        <w:tc>
          <w:tcPr>
            <w:tcW w:w="907" w:type="dxa"/>
            <w:vMerge w:val="continue"/>
            <w:noWrap w:val="0"/>
            <w:vAlign w:val="center"/>
          </w:tcPr>
          <w:p>
            <w:pPr>
              <w:tabs>
                <w:tab w:val="left" w:pos="358"/>
              </w:tabs>
              <w:spacing w:line="240" w:lineRule="auto"/>
              <w:jc w:val="center"/>
              <w:rPr>
                <w:rFonts w:hint="eastAsia" w:ascii="宋体" w:hAnsi="宋体" w:eastAsia="宋体" w:cs="宋体"/>
                <w:szCs w:val="21"/>
              </w:rPr>
            </w:pPr>
          </w:p>
        </w:tc>
        <w:tc>
          <w:tcPr>
            <w:tcW w:w="2126" w:type="dxa"/>
            <w:noWrap w:val="0"/>
            <w:vAlign w:val="center"/>
          </w:tcPr>
          <w:p>
            <w:pPr>
              <w:tabs>
                <w:tab w:val="left" w:pos="358"/>
              </w:tabs>
              <w:spacing w:line="240" w:lineRule="auto"/>
              <w:jc w:val="center"/>
              <w:rPr>
                <w:rFonts w:hint="eastAsia" w:ascii="宋体" w:hAnsi="宋体" w:eastAsia="宋体" w:cs="宋体"/>
                <w:szCs w:val="21"/>
              </w:rPr>
            </w:pPr>
            <w:r>
              <w:rPr>
                <w:rFonts w:hint="eastAsia" w:ascii="宋体" w:hAnsi="宋体" w:eastAsia="宋体" w:cs="宋体"/>
                <w:szCs w:val="21"/>
              </w:rPr>
              <w:t>数控铣床/加工中心操作与加工</w:t>
            </w:r>
          </w:p>
        </w:tc>
        <w:tc>
          <w:tcPr>
            <w:tcW w:w="1767" w:type="dxa"/>
            <w:noWrap w:val="0"/>
            <w:vAlign w:val="center"/>
          </w:tcPr>
          <w:p>
            <w:pPr>
              <w:tabs>
                <w:tab w:val="left" w:pos="358"/>
              </w:tabs>
              <w:spacing w:line="240" w:lineRule="auto"/>
              <w:jc w:val="center"/>
              <w:rPr>
                <w:rFonts w:hint="eastAsia" w:ascii="宋体" w:hAnsi="宋体" w:eastAsia="宋体" w:cs="宋体"/>
                <w:szCs w:val="21"/>
              </w:rPr>
            </w:pPr>
            <w:r>
              <w:rPr>
                <w:rFonts w:hint="eastAsia" w:ascii="宋体" w:hAnsi="宋体" w:eastAsia="宋体" w:cs="宋体"/>
                <w:szCs w:val="21"/>
              </w:rPr>
              <w:t>数控铣工/加工中心操作工</w:t>
            </w:r>
          </w:p>
        </w:tc>
        <w:tc>
          <w:tcPr>
            <w:tcW w:w="1635" w:type="dxa"/>
            <w:noWrap w:val="0"/>
            <w:vAlign w:val="center"/>
          </w:tcPr>
          <w:p>
            <w:pPr>
              <w:tabs>
                <w:tab w:val="left" w:pos="358"/>
              </w:tabs>
              <w:spacing w:line="240" w:lineRule="auto"/>
              <w:jc w:val="center"/>
              <w:rPr>
                <w:rFonts w:hint="eastAsia" w:ascii="宋体" w:hAnsi="宋体" w:eastAsia="宋体" w:cs="宋体"/>
                <w:szCs w:val="21"/>
              </w:rPr>
            </w:pPr>
            <w:r>
              <w:rPr>
                <w:rFonts w:hint="eastAsia" w:ascii="宋体" w:hAnsi="宋体" w:eastAsia="宋体" w:cs="宋体"/>
                <w:szCs w:val="21"/>
              </w:rPr>
              <w:t>数控铣工/加工中心操作工</w:t>
            </w:r>
          </w:p>
        </w:tc>
        <w:tc>
          <w:tcPr>
            <w:tcW w:w="1530" w:type="dxa"/>
            <w:vMerge w:val="continue"/>
            <w:noWrap w:val="0"/>
            <w:vAlign w:val="center"/>
          </w:tcPr>
          <w:p>
            <w:pPr>
              <w:spacing w:line="240" w:lineRule="auto"/>
              <w:jc w:val="center"/>
              <w:rPr>
                <w:rFonts w:hint="eastAsia" w:ascii="宋体" w:hAnsi="宋体" w:eastAsia="宋体" w:cs="宋体"/>
                <w:color w:val="FF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1" w:hRule="atLeast"/>
          <w:jc w:val="center"/>
        </w:trPr>
        <w:tc>
          <w:tcPr>
            <w:tcW w:w="654" w:type="dxa"/>
            <w:noWrap w:val="0"/>
            <w:vAlign w:val="center"/>
          </w:tcPr>
          <w:p>
            <w:pPr>
              <w:spacing w:line="240" w:lineRule="auto"/>
              <w:jc w:val="center"/>
              <w:rPr>
                <w:rFonts w:hint="eastAsia" w:ascii="宋体" w:hAnsi="宋体" w:eastAsia="宋体" w:cs="宋体"/>
                <w:szCs w:val="21"/>
              </w:rPr>
            </w:pPr>
            <w:r>
              <w:rPr>
                <w:rFonts w:hint="eastAsia" w:ascii="宋体" w:hAnsi="宋体" w:eastAsia="宋体" w:cs="宋体"/>
                <w:szCs w:val="21"/>
              </w:rPr>
              <w:t>3</w:t>
            </w:r>
          </w:p>
        </w:tc>
        <w:tc>
          <w:tcPr>
            <w:tcW w:w="907" w:type="dxa"/>
            <w:vMerge w:val="continue"/>
            <w:noWrap w:val="0"/>
            <w:vAlign w:val="center"/>
          </w:tcPr>
          <w:p>
            <w:pPr>
              <w:tabs>
                <w:tab w:val="left" w:pos="358"/>
              </w:tabs>
              <w:spacing w:line="240" w:lineRule="auto"/>
              <w:jc w:val="center"/>
              <w:rPr>
                <w:rFonts w:hint="eastAsia" w:ascii="宋体" w:hAnsi="宋体" w:eastAsia="宋体" w:cs="宋体"/>
                <w:szCs w:val="21"/>
              </w:rPr>
            </w:pPr>
          </w:p>
        </w:tc>
        <w:tc>
          <w:tcPr>
            <w:tcW w:w="2126" w:type="dxa"/>
            <w:noWrap w:val="0"/>
            <w:vAlign w:val="center"/>
          </w:tcPr>
          <w:p>
            <w:pPr>
              <w:tabs>
                <w:tab w:val="left" w:pos="358"/>
              </w:tabs>
              <w:spacing w:line="240" w:lineRule="auto"/>
              <w:jc w:val="center"/>
              <w:rPr>
                <w:rFonts w:hint="eastAsia" w:ascii="宋体" w:hAnsi="宋体" w:eastAsia="宋体" w:cs="宋体"/>
                <w:szCs w:val="21"/>
              </w:rPr>
            </w:pPr>
            <w:r>
              <w:rPr>
                <w:rFonts w:hint="eastAsia" w:ascii="宋体" w:hAnsi="宋体" w:eastAsia="宋体" w:cs="宋体"/>
                <w:szCs w:val="21"/>
              </w:rPr>
              <w:t>计算机辅助设计</w:t>
            </w:r>
          </w:p>
        </w:tc>
        <w:tc>
          <w:tcPr>
            <w:tcW w:w="1767" w:type="dxa"/>
            <w:noWrap w:val="0"/>
            <w:vAlign w:val="center"/>
          </w:tcPr>
          <w:p>
            <w:pPr>
              <w:tabs>
                <w:tab w:val="left" w:pos="358"/>
              </w:tabs>
              <w:spacing w:line="240" w:lineRule="auto"/>
              <w:jc w:val="center"/>
              <w:rPr>
                <w:rFonts w:hint="eastAsia" w:ascii="宋体" w:hAnsi="宋体" w:eastAsia="宋体" w:cs="宋体"/>
                <w:szCs w:val="21"/>
              </w:rPr>
            </w:pPr>
            <w:r>
              <w:rPr>
                <w:rFonts w:hint="eastAsia" w:ascii="宋体" w:hAnsi="宋体" w:eastAsia="宋体" w:cs="宋体"/>
                <w:szCs w:val="21"/>
                <w:lang w:val="en-US" w:eastAsia="zh-CN"/>
              </w:rPr>
              <w:t>绘</w:t>
            </w:r>
            <w:r>
              <w:rPr>
                <w:rFonts w:hint="eastAsia" w:ascii="宋体" w:hAnsi="宋体" w:eastAsia="宋体" w:cs="宋体"/>
                <w:szCs w:val="21"/>
              </w:rPr>
              <w:t>图员</w:t>
            </w:r>
          </w:p>
        </w:tc>
        <w:tc>
          <w:tcPr>
            <w:tcW w:w="1635" w:type="dxa"/>
            <w:noWrap w:val="0"/>
            <w:vAlign w:val="center"/>
          </w:tcPr>
          <w:p>
            <w:pPr>
              <w:tabs>
                <w:tab w:val="left" w:pos="358"/>
              </w:tabs>
              <w:spacing w:line="240" w:lineRule="auto"/>
              <w:jc w:val="center"/>
              <w:rPr>
                <w:rFonts w:hint="eastAsia" w:ascii="宋体" w:hAnsi="宋体" w:eastAsia="宋体" w:cs="宋体"/>
                <w:szCs w:val="21"/>
              </w:rPr>
            </w:pPr>
            <w:r>
              <w:rPr>
                <w:rFonts w:hint="eastAsia" w:ascii="宋体" w:hAnsi="宋体" w:eastAsia="宋体" w:cs="宋体"/>
                <w:szCs w:val="21"/>
                <w:lang w:val="en-US" w:eastAsia="zh-CN"/>
              </w:rPr>
              <w:t>CAD</w:t>
            </w:r>
            <w:r>
              <w:rPr>
                <w:rFonts w:hint="eastAsia" w:ascii="宋体" w:hAnsi="宋体" w:eastAsia="宋体" w:cs="宋体"/>
                <w:szCs w:val="21"/>
              </w:rPr>
              <w:t>计算机</w:t>
            </w:r>
          </w:p>
          <w:p>
            <w:pPr>
              <w:tabs>
                <w:tab w:val="left" w:pos="358"/>
              </w:tabs>
              <w:spacing w:line="240" w:lineRule="auto"/>
              <w:jc w:val="center"/>
              <w:rPr>
                <w:rFonts w:hint="eastAsia" w:ascii="宋体" w:hAnsi="宋体" w:eastAsia="宋体" w:cs="宋体"/>
                <w:szCs w:val="21"/>
              </w:rPr>
            </w:pPr>
            <w:r>
              <w:rPr>
                <w:rFonts w:hint="eastAsia" w:ascii="宋体" w:hAnsi="宋体" w:eastAsia="宋体" w:cs="宋体"/>
                <w:szCs w:val="21"/>
              </w:rPr>
              <w:t>辅助设计</w:t>
            </w:r>
          </w:p>
        </w:tc>
        <w:tc>
          <w:tcPr>
            <w:tcW w:w="1530" w:type="dxa"/>
            <w:vMerge w:val="continue"/>
            <w:noWrap w:val="0"/>
            <w:vAlign w:val="center"/>
          </w:tcPr>
          <w:p>
            <w:pPr>
              <w:spacing w:line="240" w:lineRule="auto"/>
              <w:jc w:val="center"/>
              <w:rPr>
                <w:rFonts w:hint="eastAsia" w:ascii="宋体" w:hAnsi="宋体" w:eastAsia="宋体" w:cs="宋体"/>
                <w:sz w:val="24"/>
                <w:szCs w:val="24"/>
              </w:rPr>
            </w:pPr>
          </w:p>
        </w:tc>
      </w:tr>
    </w:tbl>
    <w:p>
      <w:pPr>
        <w:pageBreakBefore w:val="0"/>
        <w:kinsoku/>
        <w:wordWrap/>
        <w:overflowPunct/>
        <w:topLinePunct w:val="0"/>
        <w:autoSpaceDE/>
        <w:autoSpaceDN/>
        <w:bidi w:val="0"/>
        <w:adjustRightInd/>
        <w:snapToGrid/>
        <w:spacing w:line="600" w:lineRule="exact"/>
        <w:ind w:firstLine="420" w:firstLineChars="200"/>
        <w:textAlignment w:val="auto"/>
        <w:rPr>
          <w:rFonts w:ascii="宋体" w:hAnsi="宋体" w:cs="宋体"/>
          <w:sz w:val="21"/>
          <w:szCs w:val="21"/>
        </w:rPr>
      </w:pPr>
      <w:r>
        <w:rPr>
          <w:rFonts w:hint="eastAsia" w:ascii="宋体" w:hAnsi="宋体" w:cs="宋体"/>
          <w:sz w:val="21"/>
          <w:szCs w:val="21"/>
        </w:rPr>
        <w:t>说明：可根据学校实际情况和专业（技能）方向取得1或2个证书。</w:t>
      </w:r>
    </w:p>
    <w:p>
      <w:pPr>
        <w:pStyle w:val="3"/>
        <w:pageBreakBefore w:val="0"/>
        <w:kinsoku/>
        <w:wordWrap/>
        <w:overflowPunct/>
        <w:topLinePunct w:val="0"/>
        <w:autoSpaceDE/>
        <w:autoSpaceDN/>
        <w:bidi w:val="0"/>
        <w:adjustRightInd/>
        <w:snapToGrid/>
        <w:spacing w:after="0" w:line="600" w:lineRule="exact"/>
        <w:ind w:firstLine="562" w:firstLineChars="200"/>
        <w:jc w:val="left"/>
        <w:textAlignment w:val="auto"/>
        <w:rPr>
          <w:rFonts w:ascii="黑体" w:hAnsi="黑体" w:eastAsia="黑体" w:cs="黑体"/>
          <w:b/>
          <w:bCs w:val="0"/>
          <w:sz w:val="28"/>
          <w:szCs w:val="28"/>
        </w:rPr>
      </w:pPr>
      <w:bookmarkStart w:id="8" w:name="_Toc27723"/>
      <w:r>
        <w:rPr>
          <w:rFonts w:hint="eastAsia" w:ascii="黑体" w:hAnsi="黑体" w:eastAsia="黑体" w:cs="黑体"/>
          <w:b/>
          <w:bCs w:val="0"/>
          <w:sz w:val="28"/>
          <w:szCs w:val="28"/>
        </w:rPr>
        <w:t>五、培养目标与培养规格</w:t>
      </w:r>
      <w:bookmarkEnd w:id="8"/>
    </w:p>
    <w:p>
      <w:pPr>
        <w:pageBreakBefore w:val="0"/>
        <w:kinsoku/>
        <w:wordWrap/>
        <w:overflowPunct/>
        <w:topLinePunct w:val="0"/>
        <w:autoSpaceDE/>
        <w:autoSpaceDN/>
        <w:bidi w:val="0"/>
        <w:adjustRightInd/>
        <w:snapToGrid/>
        <w:spacing w:line="600" w:lineRule="exact"/>
        <w:ind w:firstLine="562" w:firstLineChars="200"/>
        <w:textAlignment w:val="auto"/>
        <w:rPr>
          <w:rFonts w:ascii="宋体" w:hAnsi="宋体" w:cs="宋体"/>
          <w:b/>
          <w:bCs/>
          <w:kern w:val="44"/>
          <w:sz w:val="28"/>
          <w:szCs w:val="28"/>
        </w:rPr>
      </w:pPr>
      <w:r>
        <w:rPr>
          <w:rFonts w:hint="eastAsia" w:ascii="宋体" w:hAnsi="宋体" w:cs="宋体"/>
          <w:b/>
          <w:bCs/>
          <w:kern w:val="44"/>
          <w:sz w:val="28"/>
          <w:szCs w:val="28"/>
        </w:rPr>
        <w:t>（一）培养目标</w:t>
      </w:r>
    </w:p>
    <w:p>
      <w:pPr>
        <w:pStyle w:val="2"/>
        <w:spacing w:line="240" w:lineRule="auto"/>
        <w:ind w:left="0" w:leftChars="0" w:firstLine="560" w:firstLineChars="2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本专业培养理想信念坚定，德智体美劳全面发展，具有一定科学文化水平，良好的人文素养、职业道德和创新意识，精益求精的工匠精神，较强的就业能力和可持续发展的能力，掌握数控机床操作、数控编程、数控加工工艺、</w:t>
      </w:r>
      <w:r>
        <w:rPr>
          <w:rFonts w:hint="eastAsia" w:ascii="宋体" w:hAnsi="宋体" w:eastAsia="宋体" w:cs="宋体"/>
          <w:sz w:val="28"/>
          <w:szCs w:val="28"/>
        </w:rPr>
        <w:t>CAD</w:t>
      </w:r>
      <w:r>
        <w:rPr>
          <w:rFonts w:hint="eastAsia" w:ascii="宋体" w:hAnsi="宋体" w:eastAsia="宋体" w:cs="宋体"/>
          <w:sz w:val="28"/>
          <w:szCs w:val="28"/>
          <w:lang w:val="en-US" w:eastAsia="zh-CN"/>
        </w:rPr>
        <w:t>二维</w:t>
      </w:r>
      <w:r>
        <w:rPr>
          <w:rFonts w:hint="eastAsia" w:ascii="宋体" w:hAnsi="宋体" w:eastAsia="宋体" w:cs="宋体"/>
          <w:sz w:val="28"/>
          <w:szCs w:val="28"/>
        </w:rPr>
        <w:t>软件</w:t>
      </w:r>
      <w:r>
        <w:rPr>
          <w:rFonts w:hint="eastAsia" w:ascii="宋体" w:hAnsi="宋体" w:cs="宋体"/>
          <w:sz w:val="28"/>
          <w:szCs w:val="28"/>
          <w:lang w:eastAsia="zh-CN"/>
        </w:rPr>
        <w:t>、</w:t>
      </w:r>
      <w:r>
        <w:rPr>
          <w:rFonts w:hint="eastAsia" w:ascii="宋体" w:hAnsi="宋体" w:eastAsia="宋体" w:cs="宋体"/>
          <w:sz w:val="28"/>
          <w:szCs w:val="28"/>
          <w:lang w:val="en-US" w:eastAsia="zh-CN"/>
        </w:rPr>
        <w:t>三维建模软件</w:t>
      </w:r>
      <w:r>
        <w:rPr>
          <w:rFonts w:hint="eastAsia" w:ascii="宋体" w:hAnsi="宋体" w:eastAsia="宋体" w:cs="宋体"/>
          <w:kern w:val="2"/>
          <w:sz w:val="28"/>
          <w:szCs w:val="28"/>
          <w:lang w:val="en-US" w:eastAsia="zh-CN" w:bidi="ar-SA"/>
        </w:rPr>
        <w:t>等方面的知识和技术技能，面向机械制造业企业，能够从事数控机床操作、数控编程、数控加工工艺编制、机械工程图绘制等工作的高素质技术技能型人才。</w:t>
      </w:r>
    </w:p>
    <w:p>
      <w:pPr>
        <w:pageBreakBefore w:val="0"/>
        <w:kinsoku/>
        <w:wordWrap/>
        <w:overflowPunct/>
        <w:topLinePunct w:val="0"/>
        <w:autoSpaceDE/>
        <w:autoSpaceDN/>
        <w:bidi w:val="0"/>
        <w:adjustRightInd/>
        <w:snapToGrid/>
        <w:spacing w:line="600" w:lineRule="exact"/>
        <w:ind w:firstLine="562" w:firstLineChars="200"/>
        <w:textAlignment w:val="auto"/>
        <w:rPr>
          <w:rFonts w:ascii="宋体" w:hAnsi="宋体" w:cs="宋体"/>
          <w:b/>
          <w:bCs/>
          <w:kern w:val="44"/>
          <w:sz w:val="28"/>
          <w:szCs w:val="28"/>
        </w:rPr>
      </w:pPr>
      <w:r>
        <w:rPr>
          <w:rFonts w:hint="eastAsia" w:ascii="宋体" w:hAnsi="宋体" w:cs="宋体"/>
          <w:b/>
          <w:bCs/>
          <w:kern w:val="44"/>
          <w:sz w:val="28"/>
          <w:szCs w:val="28"/>
        </w:rPr>
        <w:t>（二）培养规格</w:t>
      </w:r>
    </w:p>
    <w:p>
      <w:pPr>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ascii="宋体" w:hAnsi="宋体" w:cs="宋体"/>
          <w:color w:val="171717"/>
          <w:kern w:val="0"/>
          <w:sz w:val="28"/>
          <w:szCs w:val="28"/>
        </w:rPr>
      </w:pPr>
      <w:r>
        <w:rPr>
          <w:rFonts w:hint="eastAsia" w:ascii="宋体" w:hAnsi="宋体" w:cs="宋体"/>
          <w:color w:val="171717"/>
          <w:kern w:val="0"/>
          <w:sz w:val="28"/>
          <w:szCs w:val="28"/>
        </w:rPr>
        <w:t>本专业毕业生应具有以下职业素质、专业知识和专业技能能力：</w:t>
      </w:r>
    </w:p>
    <w:p>
      <w:pPr>
        <w:pStyle w:val="4"/>
        <w:pageBreakBefore w:val="0"/>
        <w:kinsoku/>
        <w:wordWrap/>
        <w:overflowPunct/>
        <w:topLinePunct w:val="0"/>
        <w:autoSpaceDE/>
        <w:autoSpaceDN/>
        <w:bidi w:val="0"/>
        <w:adjustRightInd/>
        <w:snapToGrid/>
        <w:spacing w:line="600" w:lineRule="exact"/>
        <w:ind w:firstLine="562" w:firstLineChars="200"/>
        <w:textAlignment w:val="auto"/>
      </w:pPr>
      <w:r>
        <w:rPr>
          <w:rFonts w:hint="eastAsia"/>
        </w:rPr>
        <w:t>1.素质</w:t>
      </w:r>
    </w:p>
    <w:p>
      <w:pPr>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ascii="宋体" w:hAnsi="宋体" w:cs="宋体"/>
          <w:sz w:val="28"/>
          <w:szCs w:val="28"/>
        </w:rPr>
      </w:pPr>
      <w:r>
        <w:rPr>
          <w:rFonts w:hint="eastAsia" w:ascii="宋体" w:hAnsi="宋体" w:cs="宋体"/>
          <w:sz w:val="28"/>
          <w:szCs w:val="28"/>
        </w:rPr>
        <w:t>（1）思想政治素质</w:t>
      </w:r>
    </w:p>
    <w:p>
      <w:pPr>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ascii="宋体" w:hAnsi="宋体" w:cs="宋体"/>
          <w:sz w:val="28"/>
          <w:szCs w:val="28"/>
        </w:rPr>
      </w:pPr>
      <w:r>
        <w:rPr>
          <w:rFonts w:hint="eastAsia" w:ascii="宋体" w:hAnsi="宋体" w:cs="宋体"/>
          <w:sz w:val="28"/>
          <w:szCs w:val="28"/>
        </w:rPr>
        <w:t>具有科学的世界观、人生观和价值观；具有爱国具有责任心和社会责任感；具有法律意识。</w:t>
      </w:r>
    </w:p>
    <w:p>
      <w:pPr>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ascii="宋体" w:hAnsi="宋体" w:cs="宋体"/>
          <w:sz w:val="28"/>
          <w:szCs w:val="28"/>
        </w:rPr>
      </w:pPr>
      <w:r>
        <w:rPr>
          <w:rFonts w:hint="eastAsia" w:ascii="宋体" w:hAnsi="宋体" w:cs="宋体"/>
          <w:sz w:val="28"/>
          <w:szCs w:val="28"/>
        </w:rPr>
        <w:t>（2）文化科技素质</w:t>
      </w:r>
    </w:p>
    <w:p>
      <w:pPr>
        <w:pageBreakBefore w:val="0"/>
        <w:widowControl/>
        <w:tabs>
          <w:tab w:val="left" w:pos="0"/>
        </w:tabs>
        <w:kinsoku/>
        <w:wordWrap/>
        <w:overflowPunct/>
        <w:topLinePunct w:val="0"/>
        <w:autoSpaceDE/>
        <w:autoSpaceDN/>
        <w:bidi w:val="0"/>
        <w:adjustRightInd/>
        <w:snapToGrid/>
        <w:spacing w:line="600" w:lineRule="exact"/>
        <w:ind w:left="0" w:leftChars="0" w:firstLine="560" w:firstLineChars="200"/>
        <w:jc w:val="left"/>
        <w:textAlignment w:val="auto"/>
        <w:rPr>
          <w:rFonts w:ascii="宋体" w:hAnsi="宋体" w:cs="宋体"/>
          <w:sz w:val="28"/>
          <w:szCs w:val="28"/>
        </w:rPr>
      </w:pPr>
      <w:r>
        <w:rPr>
          <w:rFonts w:hint="eastAsia" w:ascii="宋体" w:hAnsi="宋体" w:cs="宋体"/>
          <w:sz w:val="28"/>
          <w:szCs w:val="28"/>
        </w:rPr>
        <w:t>具有合理的知识结构和一定的知识储备；具有运用计算机进行技术交流和信息处理的能力，和通过不同途径获取信息、学习新知识的能力；具有持续学习和终身学习的能力的人文和艺术修养。</w:t>
      </w:r>
    </w:p>
    <w:p>
      <w:pPr>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ascii="宋体" w:hAnsi="宋体" w:cs="宋体"/>
          <w:sz w:val="28"/>
          <w:szCs w:val="28"/>
        </w:rPr>
      </w:pPr>
      <w:r>
        <w:rPr>
          <w:rFonts w:hint="eastAsia" w:ascii="宋体" w:hAnsi="宋体" w:cs="宋体"/>
          <w:sz w:val="28"/>
          <w:szCs w:val="28"/>
        </w:rPr>
        <w:t>（3）专业素质</w:t>
      </w:r>
    </w:p>
    <w:p>
      <w:pPr>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ascii="宋体" w:hAnsi="宋体" w:cs="宋体"/>
          <w:sz w:val="28"/>
          <w:szCs w:val="28"/>
        </w:rPr>
      </w:pPr>
      <w:r>
        <w:rPr>
          <w:rFonts w:hint="eastAsia" w:ascii="宋体" w:hAnsi="宋体" w:cs="宋体"/>
          <w:sz w:val="28"/>
          <w:szCs w:val="28"/>
        </w:rPr>
        <w:t>具有机械加工基本常识，解决普通车削加工及数控加工一般技术问题的能力；具有操作数控车床、数控铣床加工零件并进行质量检测评估能力；具有掌握数控加工技术，能合理选取数控加工的相关要素，具有较高的质量和成本意识；具有识读与绘制机械零件图、使用CAD软件能力；了解数控技术的发展方向，具有创新精神和自主学习的能力，具有适应职业变换的能力；具有良好的人际交流能力、团队合作精神和客户服务意识。</w:t>
      </w:r>
    </w:p>
    <w:p>
      <w:pPr>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ascii="宋体" w:hAnsi="宋体" w:cs="宋体"/>
          <w:sz w:val="28"/>
          <w:szCs w:val="28"/>
        </w:rPr>
      </w:pPr>
      <w:r>
        <w:rPr>
          <w:rFonts w:hint="eastAsia" w:ascii="宋体" w:hAnsi="宋体" w:cs="宋体"/>
          <w:sz w:val="28"/>
          <w:szCs w:val="28"/>
        </w:rPr>
        <w:t>（4）职业素质</w:t>
      </w:r>
    </w:p>
    <w:p>
      <w:pPr>
        <w:pageBreakBefore w:val="0"/>
        <w:widowControl/>
        <w:kinsoku/>
        <w:wordWrap/>
        <w:overflowPunct/>
        <w:topLinePunct w:val="0"/>
        <w:autoSpaceDE/>
        <w:autoSpaceDN/>
        <w:bidi w:val="0"/>
        <w:adjustRightInd/>
        <w:snapToGrid/>
        <w:spacing w:line="600" w:lineRule="exact"/>
        <w:ind w:left="0" w:leftChars="0" w:firstLine="560" w:firstLineChars="200"/>
        <w:jc w:val="left"/>
        <w:textAlignment w:val="auto"/>
        <w:rPr>
          <w:rFonts w:ascii="宋体" w:hAnsi="宋体" w:cs="宋体"/>
          <w:sz w:val="28"/>
          <w:szCs w:val="28"/>
        </w:rPr>
      </w:pPr>
      <w:r>
        <w:rPr>
          <w:rFonts w:hint="eastAsia" w:ascii="宋体" w:hAnsi="宋体" w:cs="宋体"/>
          <w:sz w:val="28"/>
          <w:szCs w:val="28"/>
        </w:rPr>
        <w:t>具有良好的职业道德与职业操守:具备较强的组织观体竟识:有较强的执行能力及权高的工作效率及安全意识；具有安全文明生产、环境保护、质量控制等方面的相关知识和技能。</w:t>
      </w:r>
    </w:p>
    <w:p>
      <w:pPr>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ascii="宋体" w:hAnsi="宋体" w:cs="宋体"/>
          <w:sz w:val="28"/>
          <w:szCs w:val="28"/>
        </w:rPr>
      </w:pPr>
      <w:r>
        <w:rPr>
          <w:rFonts w:hint="eastAsia" w:ascii="宋体" w:hAnsi="宋体" w:cs="宋体"/>
          <w:sz w:val="28"/>
          <w:szCs w:val="28"/>
        </w:rPr>
        <w:t>（5）身心素质</w:t>
      </w:r>
    </w:p>
    <w:p>
      <w:pPr>
        <w:pageBreakBefore w:val="0"/>
        <w:widowControl/>
        <w:kinsoku/>
        <w:wordWrap/>
        <w:overflowPunct/>
        <w:topLinePunct w:val="0"/>
        <w:autoSpaceDE/>
        <w:autoSpaceDN/>
        <w:bidi w:val="0"/>
        <w:adjustRightInd/>
        <w:snapToGrid/>
        <w:spacing w:line="600" w:lineRule="exact"/>
        <w:ind w:left="0" w:leftChars="0" w:firstLine="560" w:firstLineChars="200"/>
        <w:jc w:val="left"/>
        <w:textAlignment w:val="auto"/>
        <w:rPr>
          <w:rFonts w:ascii="宋体" w:hAnsi="宋体" w:cs="宋体"/>
          <w:sz w:val="28"/>
          <w:szCs w:val="28"/>
        </w:rPr>
      </w:pPr>
      <w:r>
        <w:rPr>
          <w:rFonts w:hint="eastAsia" w:ascii="宋体" w:hAnsi="宋体" w:cs="宋体"/>
          <w:sz w:val="28"/>
          <w:szCs w:val="28"/>
        </w:rPr>
        <w:t>具有健康的体和民好的身体素质;拥有积极的人生良好的心理调试能力。</w:t>
      </w:r>
    </w:p>
    <w:p>
      <w:pPr>
        <w:pStyle w:val="4"/>
        <w:pageBreakBefore w:val="0"/>
        <w:kinsoku/>
        <w:wordWrap/>
        <w:overflowPunct/>
        <w:topLinePunct w:val="0"/>
        <w:autoSpaceDE/>
        <w:autoSpaceDN/>
        <w:bidi w:val="0"/>
        <w:adjustRightInd/>
        <w:snapToGrid/>
        <w:spacing w:line="600" w:lineRule="exact"/>
        <w:ind w:firstLine="562" w:firstLineChars="200"/>
        <w:textAlignment w:val="auto"/>
      </w:pPr>
      <w:r>
        <w:rPr>
          <w:rFonts w:hint="eastAsia"/>
        </w:rPr>
        <w:t>2.知识</w:t>
      </w:r>
    </w:p>
    <w:p>
      <w:pPr>
        <w:pageBreakBefore w:val="0"/>
        <w:widowControl/>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ascii="宋体" w:hAnsi="宋体" w:cs="宋体"/>
          <w:sz w:val="28"/>
          <w:szCs w:val="28"/>
        </w:rPr>
      </w:pPr>
      <w:r>
        <w:rPr>
          <w:rFonts w:hint="eastAsia" w:ascii="宋体" w:hAnsi="宋体" w:cs="宋体"/>
          <w:sz w:val="28"/>
          <w:szCs w:val="28"/>
          <w:lang w:eastAsia="zh-CN"/>
        </w:rPr>
        <w:t>（</w:t>
      </w:r>
      <w:r>
        <w:rPr>
          <w:rFonts w:hint="eastAsia" w:ascii="宋体" w:hAnsi="宋体" w:cs="宋体"/>
          <w:sz w:val="28"/>
          <w:szCs w:val="28"/>
          <w:lang w:val="en-US" w:eastAsia="zh-CN"/>
        </w:rPr>
        <w:t>1</w:t>
      </w:r>
      <w:r>
        <w:rPr>
          <w:rFonts w:hint="eastAsia" w:ascii="宋体" w:hAnsi="宋体" w:cs="宋体"/>
          <w:sz w:val="28"/>
          <w:szCs w:val="28"/>
          <w:lang w:eastAsia="zh-CN"/>
        </w:rPr>
        <w:t>）</w:t>
      </w:r>
      <w:r>
        <w:rPr>
          <w:rFonts w:hint="eastAsia" w:ascii="宋体" w:hAnsi="宋体" w:cs="宋体"/>
          <w:sz w:val="28"/>
          <w:szCs w:val="28"/>
        </w:rPr>
        <w:t>公共基础知识</w:t>
      </w:r>
    </w:p>
    <w:p>
      <w:pPr>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ascii="宋体" w:hAnsi="宋体" w:cs="宋体"/>
          <w:sz w:val="28"/>
          <w:szCs w:val="28"/>
        </w:rPr>
      </w:pPr>
      <w:r>
        <w:rPr>
          <w:rFonts w:hint="eastAsia" w:ascii="宋体" w:hAnsi="宋体" w:cs="宋体"/>
          <w:sz w:val="28"/>
          <w:szCs w:val="28"/>
        </w:rPr>
        <w:t>掌握职业生涯规划、职业道德与法律、经济政治与社学与人生、语文、数学、英语、计算机应用基础、体验与健康、历史等相关公共基础知识。</w:t>
      </w:r>
    </w:p>
    <w:p>
      <w:pPr>
        <w:pageBreakBefore w:val="0"/>
        <w:widowControl/>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ascii="宋体" w:hAnsi="宋体" w:cs="宋体"/>
          <w:sz w:val="28"/>
          <w:szCs w:val="28"/>
        </w:rPr>
      </w:pPr>
      <w:r>
        <w:rPr>
          <w:rFonts w:hint="eastAsia" w:ascii="宋体" w:hAnsi="宋体" w:cs="宋体"/>
          <w:color w:val="171717"/>
          <w:kern w:val="0"/>
          <w:sz w:val="28"/>
          <w:szCs w:val="28"/>
          <w:lang w:eastAsia="zh-CN"/>
        </w:rPr>
        <w:t>（</w:t>
      </w:r>
      <w:r>
        <w:rPr>
          <w:rFonts w:hint="eastAsia" w:ascii="宋体" w:hAnsi="宋体" w:cs="宋体"/>
          <w:color w:val="171717"/>
          <w:kern w:val="0"/>
          <w:sz w:val="28"/>
          <w:szCs w:val="28"/>
          <w:lang w:val="en-US" w:eastAsia="zh-CN"/>
        </w:rPr>
        <w:t>2</w:t>
      </w:r>
      <w:r>
        <w:rPr>
          <w:rFonts w:hint="eastAsia" w:ascii="宋体" w:hAnsi="宋体" w:cs="宋体"/>
          <w:color w:val="171717"/>
          <w:kern w:val="0"/>
          <w:sz w:val="28"/>
          <w:szCs w:val="28"/>
          <w:lang w:eastAsia="zh-CN"/>
        </w:rPr>
        <w:t>）</w:t>
      </w:r>
      <w:r>
        <w:rPr>
          <w:rFonts w:hint="eastAsia" w:ascii="宋体" w:hAnsi="宋体" w:cs="宋体"/>
          <w:color w:val="171717"/>
          <w:kern w:val="0"/>
          <w:sz w:val="28"/>
          <w:szCs w:val="28"/>
        </w:rPr>
        <w:t>专业知识</w:t>
      </w:r>
    </w:p>
    <w:p>
      <w:pPr>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ascii="宋体" w:hAnsi="宋体" w:cs="宋体"/>
          <w:sz w:val="28"/>
          <w:szCs w:val="28"/>
        </w:rPr>
      </w:pPr>
      <w:r>
        <w:rPr>
          <w:rFonts w:hint="eastAsia" w:ascii="宋体" w:hAnsi="宋体" w:cs="宋体"/>
          <w:sz w:val="28"/>
          <w:szCs w:val="28"/>
        </w:rPr>
        <w:t xml:space="preserve">掌握机械制造的基础知识，具备机械制造的基本技能；具有一定的识图、手工绘图和CAD软件绘图能力，能熟练使用二维绘图软件进行图纸的绘制和三维建模设计；了解数控加工设备的工作原理、熟悉数控机床的基本结构，具有数控加工的基本知识，掌握数控机床的操作与日常维护保养。  </w:t>
      </w:r>
    </w:p>
    <w:p>
      <w:pPr>
        <w:pStyle w:val="4"/>
        <w:pageBreakBefore w:val="0"/>
        <w:kinsoku/>
        <w:wordWrap/>
        <w:overflowPunct/>
        <w:topLinePunct w:val="0"/>
        <w:autoSpaceDE/>
        <w:autoSpaceDN/>
        <w:bidi w:val="0"/>
        <w:adjustRightInd/>
        <w:snapToGrid/>
        <w:spacing w:line="600" w:lineRule="exact"/>
        <w:ind w:firstLine="562" w:firstLineChars="200"/>
        <w:textAlignment w:val="auto"/>
      </w:pPr>
      <w:r>
        <w:rPr>
          <w:rFonts w:hint="eastAsia"/>
        </w:rPr>
        <w:t>3.能力</w:t>
      </w:r>
    </w:p>
    <w:p>
      <w:pPr>
        <w:pageBreakBefore w:val="0"/>
        <w:widowControl/>
        <w:numPr>
          <w:ilvl w:val="0"/>
          <w:numId w:val="1"/>
        </w:numPr>
        <w:kinsoku/>
        <w:wordWrap/>
        <w:overflowPunct/>
        <w:topLinePunct w:val="0"/>
        <w:autoSpaceDE/>
        <w:autoSpaceDN/>
        <w:bidi w:val="0"/>
        <w:adjustRightInd/>
        <w:snapToGrid/>
        <w:spacing w:line="600" w:lineRule="exact"/>
        <w:ind w:firstLine="560" w:firstLineChars="200"/>
        <w:jc w:val="left"/>
        <w:textAlignment w:val="auto"/>
        <w:rPr>
          <w:rFonts w:ascii="宋体" w:hAnsi="宋体" w:cs="宋体"/>
          <w:sz w:val="28"/>
          <w:szCs w:val="28"/>
        </w:rPr>
      </w:pPr>
      <w:r>
        <w:rPr>
          <w:rFonts w:hint="eastAsia" w:ascii="宋体" w:hAnsi="宋体" w:cs="宋体"/>
          <w:sz w:val="28"/>
          <w:szCs w:val="28"/>
        </w:rPr>
        <w:t>掌握使用 Microsoft Office 办公软件的能力</w:t>
      </w:r>
    </w:p>
    <w:p>
      <w:pPr>
        <w:pageBreakBefore w:val="0"/>
        <w:widowControl/>
        <w:numPr>
          <w:ilvl w:val="0"/>
          <w:numId w:val="1"/>
        </w:numPr>
        <w:kinsoku/>
        <w:wordWrap/>
        <w:overflowPunct/>
        <w:topLinePunct w:val="0"/>
        <w:autoSpaceDE/>
        <w:autoSpaceDN/>
        <w:bidi w:val="0"/>
        <w:adjustRightInd/>
        <w:snapToGrid/>
        <w:spacing w:line="600" w:lineRule="exact"/>
        <w:ind w:firstLine="560" w:firstLineChars="200"/>
        <w:jc w:val="left"/>
        <w:textAlignment w:val="auto"/>
        <w:rPr>
          <w:rFonts w:ascii="宋体" w:hAnsi="宋体" w:cs="宋体"/>
          <w:sz w:val="28"/>
          <w:szCs w:val="28"/>
        </w:rPr>
      </w:pPr>
      <w:r>
        <w:rPr>
          <w:rFonts w:hint="eastAsia" w:ascii="宋体" w:hAnsi="宋体" w:cs="宋体"/>
          <w:sz w:val="28"/>
          <w:szCs w:val="28"/>
        </w:rPr>
        <w:t>掌握机械制图、手工绘图的能力</w:t>
      </w:r>
    </w:p>
    <w:p>
      <w:pPr>
        <w:pageBreakBefore w:val="0"/>
        <w:widowControl/>
        <w:numPr>
          <w:ilvl w:val="0"/>
          <w:numId w:val="1"/>
        </w:numPr>
        <w:kinsoku/>
        <w:wordWrap/>
        <w:overflowPunct/>
        <w:topLinePunct w:val="0"/>
        <w:autoSpaceDE/>
        <w:autoSpaceDN/>
        <w:bidi w:val="0"/>
        <w:adjustRightInd/>
        <w:snapToGrid/>
        <w:spacing w:line="600" w:lineRule="exact"/>
        <w:ind w:firstLine="560" w:firstLineChars="200"/>
        <w:jc w:val="left"/>
        <w:textAlignment w:val="auto"/>
        <w:rPr>
          <w:rFonts w:ascii="宋体" w:hAnsi="宋体" w:cs="宋体"/>
          <w:sz w:val="28"/>
          <w:szCs w:val="28"/>
        </w:rPr>
      </w:pPr>
      <w:r>
        <w:rPr>
          <w:rFonts w:hint="eastAsia" w:ascii="宋体" w:hAnsi="宋体" w:cs="宋体"/>
          <w:sz w:val="28"/>
          <w:szCs w:val="28"/>
        </w:rPr>
        <w:t xml:space="preserve">熟练掌握 </w:t>
      </w:r>
      <w:r>
        <w:rPr>
          <w:rFonts w:hint="eastAsia" w:ascii="宋体" w:hAnsi="宋体" w:cs="宋体"/>
          <w:sz w:val="28"/>
          <w:szCs w:val="28"/>
          <w:lang w:eastAsia="zh-CN"/>
        </w:rPr>
        <w:t>CAD</w:t>
      </w:r>
      <w:r>
        <w:rPr>
          <w:rFonts w:hint="eastAsia" w:ascii="宋体" w:hAnsi="宋体" w:cs="宋体"/>
          <w:sz w:val="28"/>
          <w:szCs w:val="28"/>
        </w:rPr>
        <w:t>进行二维图纸绘制的能力</w:t>
      </w:r>
    </w:p>
    <w:p>
      <w:pPr>
        <w:pageBreakBefore w:val="0"/>
        <w:widowControl/>
        <w:numPr>
          <w:ilvl w:val="0"/>
          <w:numId w:val="1"/>
        </w:numPr>
        <w:kinsoku/>
        <w:wordWrap/>
        <w:overflowPunct/>
        <w:topLinePunct w:val="0"/>
        <w:autoSpaceDE/>
        <w:autoSpaceDN/>
        <w:bidi w:val="0"/>
        <w:adjustRightInd/>
        <w:snapToGrid/>
        <w:spacing w:line="600" w:lineRule="exact"/>
        <w:ind w:firstLine="560" w:firstLineChars="200"/>
        <w:jc w:val="left"/>
        <w:textAlignment w:val="auto"/>
        <w:rPr>
          <w:rFonts w:ascii="宋体" w:hAnsi="宋体" w:cs="宋体"/>
          <w:sz w:val="28"/>
          <w:szCs w:val="28"/>
        </w:rPr>
      </w:pPr>
      <w:r>
        <w:rPr>
          <w:rFonts w:hint="eastAsia" w:ascii="宋体" w:hAnsi="宋体" w:cs="宋体"/>
          <w:sz w:val="28"/>
          <w:szCs w:val="28"/>
        </w:rPr>
        <w:t>能熟练使三维软件进行三维建模设计</w:t>
      </w:r>
    </w:p>
    <w:p>
      <w:pPr>
        <w:pageBreakBefore w:val="0"/>
        <w:widowControl/>
        <w:numPr>
          <w:ilvl w:val="0"/>
          <w:numId w:val="1"/>
        </w:numPr>
        <w:kinsoku/>
        <w:wordWrap/>
        <w:overflowPunct/>
        <w:topLinePunct w:val="0"/>
        <w:autoSpaceDE/>
        <w:autoSpaceDN/>
        <w:bidi w:val="0"/>
        <w:adjustRightInd/>
        <w:snapToGrid/>
        <w:spacing w:line="600" w:lineRule="exact"/>
        <w:ind w:firstLine="560" w:firstLineChars="200"/>
        <w:jc w:val="left"/>
        <w:textAlignment w:val="auto"/>
        <w:rPr>
          <w:rFonts w:ascii="宋体" w:hAnsi="宋体" w:cs="宋体"/>
          <w:sz w:val="28"/>
          <w:szCs w:val="28"/>
        </w:rPr>
      </w:pPr>
      <w:r>
        <w:rPr>
          <w:rFonts w:hint="eastAsia" w:ascii="宋体" w:hAnsi="宋体" w:cs="宋体"/>
          <w:sz w:val="28"/>
          <w:szCs w:val="28"/>
        </w:rPr>
        <w:t>熟练掌握数控车床、铣床（加工中心）的加工与编程技术；</w:t>
      </w:r>
    </w:p>
    <w:p>
      <w:pPr>
        <w:pageBreakBefore w:val="0"/>
        <w:widowControl/>
        <w:numPr>
          <w:ilvl w:val="0"/>
          <w:numId w:val="1"/>
        </w:numPr>
        <w:kinsoku/>
        <w:wordWrap/>
        <w:overflowPunct/>
        <w:topLinePunct w:val="0"/>
        <w:autoSpaceDE/>
        <w:autoSpaceDN/>
        <w:bidi w:val="0"/>
        <w:adjustRightInd/>
        <w:snapToGrid/>
        <w:spacing w:line="600" w:lineRule="exact"/>
        <w:ind w:firstLine="560" w:firstLineChars="200"/>
        <w:jc w:val="left"/>
        <w:textAlignment w:val="auto"/>
        <w:rPr>
          <w:rFonts w:ascii="宋体" w:hAnsi="宋体" w:cs="宋体"/>
          <w:sz w:val="28"/>
          <w:szCs w:val="28"/>
        </w:rPr>
      </w:pPr>
      <w:r>
        <w:rPr>
          <w:rFonts w:hint="eastAsia" w:ascii="宋体" w:hAnsi="宋体" w:cs="宋体"/>
          <w:sz w:val="28"/>
          <w:szCs w:val="28"/>
        </w:rPr>
        <w:t>熟悉零件数控加工工艺，能分析、解决数控加工中的常见技术问题；</w:t>
      </w:r>
    </w:p>
    <w:p>
      <w:pPr>
        <w:pageBreakBefore w:val="0"/>
        <w:widowControl/>
        <w:numPr>
          <w:ilvl w:val="0"/>
          <w:numId w:val="1"/>
        </w:numPr>
        <w:kinsoku/>
        <w:wordWrap/>
        <w:overflowPunct/>
        <w:topLinePunct w:val="0"/>
        <w:autoSpaceDE/>
        <w:autoSpaceDN/>
        <w:bidi w:val="0"/>
        <w:adjustRightInd/>
        <w:snapToGrid/>
        <w:spacing w:line="600" w:lineRule="exact"/>
        <w:ind w:firstLine="560" w:firstLineChars="200"/>
        <w:jc w:val="left"/>
        <w:textAlignment w:val="auto"/>
        <w:rPr>
          <w:rFonts w:ascii="宋体" w:hAnsi="宋体" w:cs="宋体"/>
          <w:sz w:val="28"/>
          <w:szCs w:val="28"/>
        </w:rPr>
      </w:pPr>
      <w:r>
        <w:rPr>
          <w:rFonts w:hint="eastAsia" w:ascii="宋体" w:hAnsi="宋体" w:cs="宋体"/>
          <w:sz w:val="28"/>
          <w:szCs w:val="28"/>
        </w:rPr>
        <w:t>了解企业数控加工的生产和质量管理过程，具有加工工艺实施、数控设备日常管理和加工质量检测的基本能力。</w:t>
      </w:r>
    </w:p>
    <w:p>
      <w:pPr>
        <w:pStyle w:val="3"/>
        <w:keepNext/>
        <w:keepLines/>
        <w:pageBreakBefore w:val="0"/>
        <w:widowControl w:val="0"/>
        <w:numPr>
          <w:ilvl w:val="0"/>
          <w:numId w:val="2"/>
        </w:numPr>
        <w:kinsoku/>
        <w:wordWrap/>
        <w:overflowPunct/>
        <w:topLinePunct w:val="0"/>
        <w:autoSpaceDE/>
        <w:autoSpaceDN/>
        <w:bidi w:val="0"/>
        <w:adjustRightInd/>
        <w:snapToGrid/>
        <w:spacing w:after="0" w:line="240" w:lineRule="auto"/>
        <w:ind w:firstLine="562" w:firstLineChars="200"/>
        <w:jc w:val="left"/>
        <w:textAlignment w:val="auto"/>
        <w:rPr>
          <w:rFonts w:hint="eastAsia" w:ascii="黑体" w:hAnsi="黑体" w:eastAsia="黑体" w:cs="黑体"/>
          <w:b/>
          <w:bCs w:val="0"/>
          <w:color w:val="auto"/>
          <w:sz w:val="28"/>
          <w:szCs w:val="28"/>
        </w:rPr>
      </w:pPr>
      <w:bookmarkStart w:id="9" w:name="_Toc17786"/>
      <w:r>
        <w:rPr>
          <w:rFonts w:hint="eastAsia" w:ascii="黑体" w:hAnsi="黑体" w:eastAsia="黑体" w:cs="黑体"/>
          <w:b/>
          <w:bCs w:val="0"/>
          <w:color w:val="auto"/>
          <w:sz w:val="28"/>
          <w:szCs w:val="28"/>
        </w:rPr>
        <w:t>课程设置及要求</w:t>
      </w:r>
      <w:bookmarkEnd w:id="9"/>
    </w:p>
    <w:p>
      <w:pPr>
        <w:spacing w:line="240" w:lineRule="auto"/>
        <w:ind w:firstLine="420" w:firstLineChars="200"/>
        <w:rPr>
          <w:rFonts w:hint="eastAsia" w:ascii="宋体" w:hAnsi="宋体" w:eastAsia="宋体" w:cs="宋体"/>
          <w:kern w:val="2"/>
          <w:sz w:val="28"/>
          <w:szCs w:val="28"/>
          <w:lang w:val="en-US" w:eastAsia="zh-CN" w:bidi="ar-SA"/>
        </w:rPr>
      </w:pPr>
      <w:r>
        <w:drawing>
          <wp:inline distT="0" distB="0" distL="114300" distR="114300">
            <wp:extent cx="4700270" cy="8307070"/>
            <wp:effectExtent l="0" t="0" r="5080" b="17780"/>
            <wp:docPr id="12" name="图片 12" descr="16530963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1653096369(1)"/>
                    <pic:cNvPicPr>
                      <a:picLocks noChangeAspect="1"/>
                    </pic:cNvPicPr>
                  </pic:nvPicPr>
                  <pic:blipFill>
                    <a:blip r:embed="rId12"/>
                    <a:stretch>
                      <a:fillRect/>
                    </a:stretch>
                  </pic:blipFill>
                  <pic:spPr>
                    <a:xfrm>
                      <a:off x="0" y="0"/>
                      <a:ext cx="4700270" cy="8307070"/>
                    </a:xfrm>
                    <a:prstGeom prst="rect">
                      <a:avLst/>
                    </a:prstGeom>
                  </pic:spPr>
                </pic:pic>
              </a:graphicData>
            </a:graphic>
          </wp:inline>
        </w:drawing>
      </w:r>
      <w:r>
        <w:br w:type="page"/>
      </w:r>
      <w:r>
        <w:rPr>
          <w:rFonts w:hint="eastAsia" w:ascii="宋体" w:hAnsi="宋体" w:eastAsia="宋体" w:cs="Times New Roman"/>
          <w:kern w:val="2"/>
          <w:sz w:val="28"/>
          <w:szCs w:val="28"/>
          <w:lang w:val="en-US" w:eastAsia="zh-CN" w:bidi="ar-SA"/>
        </w:rPr>
        <w:t xml:space="preserve">  </w:t>
      </w:r>
      <w:r>
        <w:rPr>
          <w:rFonts w:hint="eastAsia" w:ascii="宋体" w:hAnsi="宋体" w:eastAsia="宋体" w:cs="宋体"/>
          <w:kern w:val="2"/>
          <w:sz w:val="28"/>
          <w:szCs w:val="28"/>
          <w:lang w:val="en-US" w:eastAsia="zh-CN" w:bidi="ar-SA"/>
        </w:rPr>
        <w:t>通过职业岗位能力分析，最终对接运用于专业课程的设置为：公共基础课、专业技能课，各课程设置及学分情况如上表。</w:t>
      </w:r>
    </w:p>
    <w:p>
      <w:pPr>
        <w:pStyle w:val="2"/>
        <w:spacing w:line="240" w:lineRule="auto"/>
        <w:ind w:left="0" w:leftChars="0" w:firstLine="560" w:firstLineChars="200"/>
        <w:rPr>
          <w:rFonts w:hint="eastAsia" w:ascii="宋体" w:hAnsi="宋体" w:eastAsia="宋体" w:cs="Times New Roman"/>
          <w:kern w:val="2"/>
          <w:sz w:val="28"/>
          <w:szCs w:val="28"/>
          <w:lang w:val="en-US" w:eastAsia="zh-CN" w:bidi="ar-SA"/>
        </w:rPr>
      </w:pPr>
      <w:r>
        <w:rPr>
          <w:rFonts w:hint="eastAsia" w:ascii="宋体" w:hAnsi="宋体" w:eastAsia="宋体" w:cs="宋体"/>
          <w:kern w:val="2"/>
          <w:sz w:val="28"/>
          <w:szCs w:val="28"/>
          <w:lang w:val="en-US" w:eastAsia="zh-CN" w:bidi="ar-SA"/>
        </w:rPr>
        <w:t>上表中三年总学时数为3564，公共基础课1350学时，占总学时37.88%；专业技能课2214学时，占总学时62.12%；实践课2178学时，占总学时61.1%，选修课576学时，占总学时16.2%。</w:t>
      </w:r>
    </w:p>
    <w:p>
      <w:pPr>
        <w:numPr>
          <w:ilvl w:val="0"/>
          <w:numId w:val="3"/>
        </w:numPr>
        <w:spacing w:line="500" w:lineRule="exact"/>
        <w:ind w:firstLine="562" w:firstLineChars="200"/>
        <w:rPr>
          <w:rFonts w:ascii="宋体" w:hAnsi="宋体" w:cs="宋体"/>
          <w:b/>
          <w:bCs/>
          <w:sz w:val="28"/>
          <w:szCs w:val="28"/>
        </w:rPr>
      </w:pPr>
      <w:r>
        <w:rPr>
          <w:rFonts w:hint="eastAsia" w:ascii="宋体" w:hAnsi="宋体" w:cs="宋体"/>
          <w:b/>
          <w:bCs/>
          <w:sz w:val="28"/>
          <w:szCs w:val="28"/>
        </w:rPr>
        <w:t>公共基础课</w:t>
      </w:r>
    </w:p>
    <w:tbl>
      <w:tblPr>
        <w:tblStyle w:val="9"/>
        <w:tblW w:w="8963" w:type="dxa"/>
        <w:tblInd w:w="0" w:type="dxa"/>
        <w:shd w:val="clear" w:color="auto" w:fill="auto"/>
        <w:tblLayout w:type="autofit"/>
        <w:tblCellMar>
          <w:top w:w="0" w:type="dxa"/>
          <w:left w:w="0" w:type="dxa"/>
          <w:bottom w:w="0" w:type="dxa"/>
          <w:right w:w="0" w:type="dxa"/>
        </w:tblCellMar>
      </w:tblPr>
      <w:tblGrid>
        <w:gridCol w:w="685"/>
        <w:gridCol w:w="2537"/>
        <w:gridCol w:w="5741"/>
      </w:tblGrid>
      <w:tr>
        <w:tblPrEx>
          <w:shd w:val="clear" w:color="auto" w:fill="auto"/>
          <w:tblCellMar>
            <w:top w:w="0" w:type="dxa"/>
            <w:left w:w="0" w:type="dxa"/>
            <w:bottom w:w="0" w:type="dxa"/>
            <w:right w:w="0" w:type="dxa"/>
          </w:tblCellMar>
        </w:tblPrEx>
        <w:trPr>
          <w:trHeight w:val="580" w:hRule="atLeast"/>
        </w:trPr>
        <w:tc>
          <w:tcPr>
            <w:tcW w:w="685"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课程名称</w:t>
            </w:r>
          </w:p>
        </w:tc>
        <w:tc>
          <w:tcPr>
            <w:tcW w:w="2537"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课程目标</w:t>
            </w:r>
          </w:p>
        </w:tc>
        <w:tc>
          <w:tcPr>
            <w:tcW w:w="5741"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课程内容和要求</w:t>
            </w:r>
          </w:p>
        </w:tc>
      </w:tr>
      <w:tr>
        <w:tblPrEx>
          <w:shd w:val="clear" w:color="auto" w:fill="auto"/>
          <w:tblCellMar>
            <w:top w:w="0" w:type="dxa"/>
            <w:left w:w="0" w:type="dxa"/>
            <w:bottom w:w="0" w:type="dxa"/>
            <w:right w:w="0" w:type="dxa"/>
          </w:tblCellMar>
        </w:tblPrEx>
        <w:trPr>
          <w:trHeight w:val="1979" w:hRule="atLeast"/>
        </w:trPr>
        <w:tc>
          <w:tcPr>
            <w:tcW w:w="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思想政治</w:t>
            </w:r>
          </w:p>
        </w:tc>
        <w:tc>
          <w:tcPr>
            <w:tcW w:w="2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培养学生思想政治学科的核心素养，包括政治认同、法治意识、公共参与、职业精神、健全人格等。</w:t>
            </w:r>
          </w:p>
        </w:tc>
        <w:tc>
          <w:tcPr>
            <w:tcW w:w="5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firstLine="44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德育课程课程类别分为必修课程和任意选修课程。</w:t>
            </w:r>
          </w:p>
          <w:p>
            <w:pPr>
              <w:keepNext w:val="0"/>
              <w:keepLines w:val="0"/>
              <w:widowControl/>
              <w:suppressLineNumbers w:val="0"/>
              <w:spacing w:line="240" w:lineRule="auto"/>
              <w:ind w:firstLine="44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必修内容包括“中国特色社会主义”、“心理健康与职业生涯”、“哲学与人生”、“职业道德与法治”四部分。</w:t>
            </w:r>
          </w:p>
          <w:p>
            <w:pPr>
              <w:keepNext w:val="0"/>
              <w:keepLines w:val="0"/>
              <w:widowControl/>
              <w:suppressLineNumbers w:val="0"/>
              <w:spacing w:line="240" w:lineRule="auto"/>
              <w:ind w:firstLine="440"/>
              <w:jc w:val="left"/>
              <w:textAlignment w:val="center"/>
              <w:rPr>
                <w:rFonts w:hint="eastAsia"/>
                <w:lang w:val="en-US" w:eastAsia="zh-CN"/>
              </w:rPr>
            </w:pPr>
            <w:r>
              <w:rPr>
                <w:rFonts w:hint="eastAsia" w:ascii="宋体" w:hAnsi="宋体" w:eastAsia="宋体" w:cs="宋体"/>
                <w:i w:val="0"/>
                <w:color w:val="000000"/>
                <w:kern w:val="0"/>
                <w:sz w:val="22"/>
                <w:szCs w:val="22"/>
                <w:u w:val="none"/>
                <w:lang w:val="en-US" w:eastAsia="zh-CN" w:bidi="ar"/>
              </w:rPr>
              <w:t>任意选修课程，是必修课程的拓展和补充，由学生选择修习，主要包括时事政策教育、法律与职业教育、国家安全教育等。</w:t>
            </w:r>
          </w:p>
          <w:p>
            <w:pPr>
              <w:keepNext w:val="0"/>
              <w:keepLines w:val="0"/>
              <w:widowControl/>
              <w:suppressLineNumbers w:val="0"/>
              <w:spacing w:line="240" w:lineRule="auto"/>
              <w:ind w:firstLine="440" w:firstLineChars="20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德育课程每个部分分设若干个学习领域，每个学习领域由学习目标和内容目标组成。</w:t>
            </w:r>
          </w:p>
          <w:p>
            <w:pPr>
              <w:keepNext w:val="0"/>
              <w:keepLines w:val="0"/>
              <w:widowControl/>
              <w:suppressLineNumbers w:val="0"/>
              <w:spacing w:line="240" w:lineRule="auto"/>
              <w:ind w:firstLine="440" w:firstLineChars="20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实现思想政治教育与技术技能培养的有机统一。</w:t>
            </w:r>
          </w:p>
          <w:p>
            <w:pPr>
              <w:keepNext w:val="0"/>
              <w:keepLines w:val="0"/>
              <w:widowControl/>
              <w:suppressLineNumbers w:val="0"/>
              <w:spacing w:line="240" w:lineRule="auto"/>
              <w:ind w:firstLine="440" w:firstLineChars="20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结合职业学校学生特点，创新思政课程教学模式。</w:t>
            </w:r>
          </w:p>
        </w:tc>
      </w:tr>
      <w:tr>
        <w:tblPrEx>
          <w:shd w:val="clear" w:color="auto" w:fill="auto"/>
          <w:tblCellMar>
            <w:top w:w="0" w:type="dxa"/>
            <w:left w:w="0" w:type="dxa"/>
            <w:bottom w:w="0" w:type="dxa"/>
            <w:right w:w="0" w:type="dxa"/>
          </w:tblCellMar>
        </w:tblPrEx>
        <w:trPr>
          <w:trHeight w:val="2520" w:hRule="atLeast"/>
        </w:trPr>
        <w:tc>
          <w:tcPr>
            <w:tcW w:w="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语文</w:t>
            </w:r>
          </w:p>
        </w:tc>
        <w:tc>
          <w:tcPr>
            <w:tcW w:w="2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培养学生正确理解与运用祖国的语言文字，注重基本技能的训练和思维发展，加强语文实践，培养语文的应用能力，为综合职业能力的形成，以及继续学习奠定基础。</w:t>
            </w:r>
          </w:p>
        </w:tc>
        <w:tc>
          <w:tcPr>
            <w:tcW w:w="5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firstLine="44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由基础模块、职业模块、拓展模块三个模块十五个专题组成。</w:t>
            </w:r>
          </w:p>
          <w:p>
            <w:pPr>
              <w:keepNext w:val="0"/>
              <w:keepLines w:val="0"/>
              <w:widowControl/>
              <w:suppressLineNumbers w:val="0"/>
              <w:spacing w:line="240" w:lineRule="auto"/>
              <w:ind w:firstLine="44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课程以主题和专题作为教学内容的构建方式：</w:t>
            </w:r>
          </w:p>
          <w:p>
            <w:pPr>
              <w:keepNext w:val="0"/>
              <w:keepLines w:val="0"/>
              <w:widowControl/>
              <w:numPr>
                <w:ilvl w:val="0"/>
                <w:numId w:val="0"/>
              </w:numPr>
              <w:suppressLineNumbers w:val="0"/>
              <w:spacing w:line="240" w:lineRule="auto"/>
              <w:ind w:firstLine="440" w:firstLineChars="20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1.中国革命传统作品选读、社会主义先进文化作品选读、劳模精神工匠精神作品研读(职业模块)专题，体现语文课程全面贯彻党的教育方针，落实“立德树人”课程性质与任务。</w:t>
            </w:r>
          </w:p>
          <w:p>
            <w:pPr>
              <w:keepNext w:val="0"/>
              <w:keepLines w:val="0"/>
              <w:widowControl/>
              <w:numPr>
                <w:ilvl w:val="0"/>
                <w:numId w:val="0"/>
              </w:numPr>
              <w:suppressLineNumbers w:val="0"/>
              <w:spacing w:line="240" w:lineRule="auto"/>
              <w:ind w:firstLine="440" w:firstLineChars="20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2.中外文学作品选读、实用性阅读与交流等专题，旨在引导学生阅读不同体裁的中外优秀文学作品，在感受形象、品味语言、体验情感的过程中，提高文学欣赏能力和人文素养。</w:t>
            </w:r>
          </w:p>
          <w:p>
            <w:pPr>
              <w:keepNext w:val="0"/>
              <w:keepLines w:val="0"/>
              <w:widowControl/>
              <w:numPr>
                <w:ilvl w:val="0"/>
                <w:numId w:val="0"/>
              </w:numPr>
              <w:suppressLineNumbers w:val="0"/>
              <w:spacing w:line="240" w:lineRule="auto"/>
              <w:ind w:firstLine="440" w:firstLineChars="20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3.跨媒介阅读与交流、科普作品的学习，微写作、广告、说明书等贴近现实生活的教学内容，丰富学生的言语实践，满足学生职业发展需要，增强学生适应与服务社会的能力。</w:t>
            </w:r>
          </w:p>
        </w:tc>
      </w:tr>
      <w:tr>
        <w:tblPrEx>
          <w:shd w:val="clear" w:color="auto" w:fill="auto"/>
          <w:tblCellMar>
            <w:top w:w="0" w:type="dxa"/>
            <w:left w:w="0" w:type="dxa"/>
            <w:bottom w:w="0" w:type="dxa"/>
            <w:right w:w="0" w:type="dxa"/>
          </w:tblCellMar>
        </w:tblPrEx>
        <w:trPr>
          <w:trHeight w:val="3020" w:hRule="atLeast"/>
        </w:trPr>
        <w:tc>
          <w:tcPr>
            <w:tcW w:w="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数学</w:t>
            </w:r>
          </w:p>
        </w:tc>
        <w:tc>
          <w:tcPr>
            <w:tcW w:w="2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培养学生逐步提高数学运算、直观想象、逻辑推理、数学抽象、数据分析和数学建模等数学学科核心素养，初步学会用数学眼光观察世界，用数学思维分析世界，用数学语言表达世界。</w:t>
            </w:r>
          </w:p>
        </w:tc>
        <w:tc>
          <w:tcPr>
            <w:tcW w:w="5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firstLine="44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由基础模块、拓展模块一和拓展模块二组成。</w:t>
            </w:r>
          </w:p>
          <w:p>
            <w:pPr>
              <w:keepNext w:val="0"/>
              <w:keepLines w:val="0"/>
              <w:widowControl/>
              <w:suppressLineNumbers w:val="0"/>
              <w:spacing w:line="240" w:lineRule="auto"/>
              <w:ind w:firstLine="44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基础模块的内容分别是基础知识（集合、不等式）、函数（函数、指数函数与対数函数、三角函数）、几何与代数（直线与圆的方程、简单几何体）和概率与统计（概率与统计初步）；拓展模块一包含基础知识（充要条件）、函数（三角计算、数列）、几何与代数（平面向量、圆锥曲线、立体几何、复数）和概率与统计（排列组合），随机变量及其分布（统计）；</w:t>
            </w:r>
          </w:p>
          <w:p>
            <w:pPr>
              <w:keepNext w:val="0"/>
              <w:keepLines w:val="0"/>
              <w:widowControl/>
              <w:suppressLineNumbers w:val="0"/>
              <w:spacing w:line="240" w:lineRule="auto"/>
              <w:ind w:firstLine="44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拓展模块二包含七个专题：数学文化专题、数学建模专题、数学工具专题、规划与评估专题、数学与信息技术专题、数学与财经商贸专题和数学与加工制造专题、数学案例。帮助学生用数学的思维思考问题，全面提升学生的数学运算、直观想象、逻辑推理、数学抽象、数据分析和数学建模等数学学科核心素养。</w:t>
            </w:r>
          </w:p>
        </w:tc>
      </w:tr>
      <w:tr>
        <w:tblPrEx>
          <w:shd w:val="clear" w:color="auto" w:fill="auto"/>
          <w:tblCellMar>
            <w:top w:w="0" w:type="dxa"/>
            <w:left w:w="0" w:type="dxa"/>
            <w:bottom w:w="0" w:type="dxa"/>
            <w:right w:w="0" w:type="dxa"/>
          </w:tblCellMar>
        </w:tblPrEx>
        <w:trPr>
          <w:trHeight w:val="3220" w:hRule="atLeast"/>
        </w:trPr>
        <w:tc>
          <w:tcPr>
            <w:tcW w:w="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外语</w:t>
            </w:r>
          </w:p>
          <w:p>
            <w:pPr>
              <w:keepNext w:val="0"/>
              <w:keepLines w:val="0"/>
              <w:widowControl/>
              <w:suppressLineNumbers w:val="0"/>
              <w:spacing w:line="240" w:lineRule="auto"/>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（英语）</w:t>
            </w:r>
          </w:p>
        </w:tc>
        <w:tc>
          <w:tcPr>
            <w:tcW w:w="2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培养学生树立学习英语的信心，掌握一定的英语语言知识，具备必需的英语听、说、读、写能力，并能发挥主体作用，形成有效的英语学习策略，了解文化差异，能在不同的生活和工作情境中使用英语进行有效交流。</w:t>
            </w:r>
          </w:p>
        </w:tc>
        <w:tc>
          <w:tcPr>
            <w:tcW w:w="5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firstLine="440" w:firstLineChars="20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由基础模块和拓展模块两大部分组成。</w:t>
            </w:r>
          </w:p>
          <w:p>
            <w:pPr>
              <w:keepNext w:val="0"/>
              <w:keepLines w:val="0"/>
              <w:widowControl/>
              <w:suppressLineNumbers w:val="0"/>
              <w:spacing w:line="240" w:lineRule="auto"/>
              <w:ind w:firstLine="440" w:firstLineChars="20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基础模块为全体中等职业学校学生必修内容，学生在完成基础部分的学习，并通过相应的测评后达到基本要求，语言能力能为专业学习打下良好的基础，并满足职业发展对英语能力的基本需求。</w:t>
            </w:r>
          </w:p>
          <w:p>
            <w:pPr>
              <w:keepNext w:val="0"/>
              <w:keepLines w:val="0"/>
              <w:widowControl/>
              <w:suppressLineNumbers w:val="0"/>
              <w:spacing w:line="240" w:lineRule="auto"/>
              <w:ind w:firstLine="440" w:firstLineChars="20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拓展模块是为学有余力或有继续学习需要的学生设置的选修内容。学生在完成拓展部分的学习，并通过相应的测评后达到较高要求，语言能力能满足其今后工作、学习和生活对英语的基本需求，并为其可持续发展和终身学习奠定较扎实的基础。</w:t>
            </w:r>
          </w:p>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w:t>
            </w:r>
          </w:p>
          <w:p>
            <w:pPr>
              <w:keepNext w:val="0"/>
              <w:keepLines w:val="0"/>
              <w:widowControl/>
              <w:suppressLineNumbers w:val="0"/>
              <w:spacing w:line="240" w:lineRule="auto"/>
              <w:ind w:firstLine="440" w:firstLineChars="20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要求：</w:t>
            </w:r>
          </w:p>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（1）注重基础，突出实用性；</w:t>
            </w:r>
          </w:p>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（2）分层教学，增强选择性；</w:t>
            </w:r>
          </w:p>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（3）任务驱动，凸现趣味性。</w:t>
            </w:r>
          </w:p>
        </w:tc>
      </w:tr>
      <w:tr>
        <w:tblPrEx>
          <w:tblCellMar>
            <w:top w:w="0" w:type="dxa"/>
            <w:left w:w="0" w:type="dxa"/>
            <w:bottom w:w="0" w:type="dxa"/>
            <w:right w:w="0" w:type="dxa"/>
          </w:tblCellMar>
        </w:tblPrEx>
        <w:trPr>
          <w:trHeight w:val="3100" w:hRule="atLeast"/>
        </w:trPr>
        <w:tc>
          <w:tcPr>
            <w:tcW w:w="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历史</w:t>
            </w:r>
          </w:p>
        </w:tc>
        <w:tc>
          <w:tcPr>
            <w:tcW w:w="2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培养学生进一步了解人类社会发展的基本脉络和优秀文化传统；从历史的角度了解和思考人与人、人与社会、人与自然的关系，增强历史使命感和社会责任感；培育社会主义核心价值观，树立正确的历史观、人生观和价值观。</w:t>
            </w:r>
          </w:p>
        </w:tc>
        <w:tc>
          <w:tcPr>
            <w:tcW w:w="5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firstLine="44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由基础模块和拓展模块两个部分构成。 </w:t>
            </w:r>
          </w:p>
          <w:p>
            <w:pPr>
              <w:keepNext w:val="0"/>
              <w:keepLines w:val="0"/>
              <w:widowControl/>
              <w:suppressLineNumbers w:val="0"/>
              <w:spacing w:line="240" w:lineRule="auto"/>
              <w:ind w:firstLine="44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基础模块是各专业学生必修的基础性内容，包括“中国历史” 和“世界历史”。 </w:t>
            </w:r>
          </w:p>
          <w:p>
            <w:pPr>
              <w:keepNext w:val="0"/>
              <w:keepLines w:val="0"/>
              <w:widowControl/>
              <w:suppressLineNumbers w:val="0"/>
              <w:spacing w:line="240" w:lineRule="auto"/>
              <w:ind w:firstLine="44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拓展模块是满足学生职业发展需要，开拓学生视野，提升学生学习兴趣，供学生选修的课程。</w:t>
            </w:r>
          </w:p>
          <w:p>
            <w:pPr>
              <w:keepNext w:val="0"/>
              <w:keepLines w:val="0"/>
              <w:widowControl/>
              <w:numPr>
                <w:ilvl w:val="0"/>
                <w:numId w:val="0"/>
              </w:numPr>
              <w:suppressLineNumbers w:val="0"/>
              <w:spacing w:line="240" w:lineRule="auto"/>
              <w:ind w:firstLine="440" w:firstLineChars="20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1.以唯物史观为指导，促进中等职业学校学生进一步了解人类社会形态从低级到高级发展的基本脉络、基本规律和优秀文化成果；</w:t>
            </w:r>
          </w:p>
          <w:p>
            <w:pPr>
              <w:keepNext w:val="0"/>
              <w:keepLines w:val="0"/>
              <w:widowControl/>
              <w:numPr>
                <w:ilvl w:val="0"/>
                <w:numId w:val="0"/>
              </w:numPr>
              <w:suppressLineNumbers w:val="0"/>
              <w:spacing w:line="240" w:lineRule="auto"/>
              <w:ind w:firstLine="440" w:firstLineChars="20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2.从历史的角度了解和思考人与人、人与社会、人与自然的关系，增强历史使命感和社会责任感；</w:t>
            </w:r>
          </w:p>
          <w:p>
            <w:pPr>
              <w:keepNext w:val="0"/>
              <w:keepLines w:val="0"/>
              <w:widowControl/>
              <w:numPr>
                <w:ilvl w:val="0"/>
                <w:numId w:val="0"/>
              </w:numPr>
              <w:suppressLineNumbers w:val="0"/>
              <w:spacing w:line="240" w:lineRule="auto"/>
              <w:ind w:firstLine="440" w:firstLineChars="20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3.进一步弘扬以爱国主义为核心的民族精神和以改革创新为核心的时代精神，培育和践行社会主义核心价值观；</w:t>
            </w:r>
          </w:p>
          <w:p>
            <w:pPr>
              <w:keepNext w:val="0"/>
              <w:keepLines w:val="0"/>
              <w:widowControl/>
              <w:numPr>
                <w:ilvl w:val="0"/>
                <w:numId w:val="0"/>
              </w:numPr>
              <w:suppressLineNumbers w:val="0"/>
              <w:spacing w:line="240" w:lineRule="auto"/>
              <w:ind w:firstLine="440" w:firstLineChars="20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4.树立正确的历史观、民族观、国家观和文化观；</w:t>
            </w:r>
          </w:p>
          <w:p>
            <w:pPr>
              <w:keepNext w:val="0"/>
              <w:keepLines w:val="0"/>
              <w:widowControl/>
              <w:numPr>
                <w:ilvl w:val="0"/>
                <w:numId w:val="0"/>
              </w:numPr>
              <w:suppressLineNumbers w:val="0"/>
              <w:spacing w:line="240" w:lineRule="auto"/>
              <w:ind w:firstLine="440" w:firstLineChars="20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5.塑造健全的人格，养成职业精神，培养德智体美劳全面发展的社会主义建设者和接班人。</w:t>
            </w:r>
          </w:p>
        </w:tc>
      </w:tr>
      <w:tr>
        <w:tblPrEx>
          <w:shd w:val="clear" w:color="auto" w:fill="auto"/>
          <w:tblCellMar>
            <w:top w:w="0" w:type="dxa"/>
            <w:left w:w="0" w:type="dxa"/>
            <w:bottom w:w="0" w:type="dxa"/>
            <w:right w:w="0" w:type="dxa"/>
          </w:tblCellMar>
        </w:tblPrEx>
        <w:trPr>
          <w:trHeight w:val="2680" w:hRule="atLeast"/>
        </w:trPr>
        <w:tc>
          <w:tcPr>
            <w:tcW w:w="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信息技术</w:t>
            </w:r>
          </w:p>
        </w:tc>
        <w:tc>
          <w:tcPr>
            <w:tcW w:w="2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培养学生全面提升学生的信息素养和信息化职业能力，让学生掌握信息技术设备与系统操作、网络应用、图文编辑、数据处理等相关知识。</w:t>
            </w:r>
          </w:p>
        </w:tc>
        <w:tc>
          <w:tcPr>
            <w:tcW w:w="5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firstLine="44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等职业学校信息技术课程内容围绕学生对信息技术理解与应用的实际需求来选取，包含信息技术应用基础、网络应用、图文编辑、数据处理、程序设计入门、数字媒体技术应用、信息安全基础、人工智能初步8个部分。</w:t>
            </w:r>
          </w:p>
          <w:p>
            <w:pPr>
              <w:keepNext w:val="0"/>
              <w:keepLines w:val="0"/>
              <w:widowControl/>
              <w:suppressLineNumbers w:val="0"/>
              <w:spacing w:line="240" w:lineRule="auto"/>
              <w:ind w:firstLine="44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技术应用基础、网络应用、信息安全基础，体现信息技术课程对人类社会生产、生活方式的影响，了解信息安全常识及相关的法律法规，落实“立德树人”课程性质与任务；图文编辑、数据处理、数字媒体技术应用，采用国产软件WPS Office 2019进行演示授课，要求学生掌握日常办公软件的使用，满足学生职业发展需求，加强爱国主义教育；程序设计入门、人工智能初步，要求学生掌握使用Python语言设计简单程序，了解人工智能对社会发展的影响，增强学生对信息社会的了解，开拓学生视野。</w:t>
            </w:r>
          </w:p>
        </w:tc>
      </w:tr>
      <w:tr>
        <w:tblPrEx>
          <w:shd w:val="clear" w:color="auto" w:fill="auto"/>
          <w:tblCellMar>
            <w:top w:w="0" w:type="dxa"/>
            <w:left w:w="0" w:type="dxa"/>
            <w:bottom w:w="0" w:type="dxa"/>
            <w:right w:w="0" w:type="dxa"/>
          </w:tblCellMar>
        </w:tblPrEx>
        <w:trPr>
          <w:trHeight w:val="2880" w:hRule="atLeast"/>
        </w:trPr>
        <w:tc>
          <w:tcPr>
            <w:tcW w:w="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体育与</w:t>
            </w:r>
          </w:p>
          <w:p>
            <w:pPr>
              <w:keepNext w:val="0"/>
              <w:keepLines w:val="0"/>
              <w:widowControl/>
              <w:suppressLineNumbers w:val="0"/>
              <w:spacing w:line="240" w:lineRule="auto"/>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健康</w:t>
            </w:r>
          </w:p>
        </w:tc>
        <w:tc>
          <w:tcPr>
            <w:tcW w:w="2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培养学生具有健康的人格、强健的体魄，为学生身心健康和职业生涯发展奠定坚实的基础。</w:t>
            </w:r>
          </w:p>
        </w:tc>
        <w:tc>
          <w:tcPr>
            <w:tcW w:w="5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firstLine="440" w:firstLineChars="20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由基础模块和拓展模块两个部分构成：</w:t>
            </w:r>
          </w:p>
          <w:p>
            <w:pPr>
              <w:keepNext w:val="0"/>
              <w:keepLines w:val="0"/>
              <w:widowControl/>
              <w:suppressLineNumbers w:val="0"/>
              <w:spacing w:line="240" w:lineRule="auto"/>
              <w:ind w:firstLine="440" w:firstLineChars="20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（1）基础模块是各专业学生必修的基础内容。基础模块包括体能和健康教育2个子模块，体能模块又包括健康体能、运动体能和职业体能，其中运动体能可结合拓展模块中的运动技能系列实施。</w:t>
            </w:r>
          </w:p>
          <w:p>
            <w:pPr>
              <w:keepNext w:val="0"/>
              <w:keepLines w:val="0"/>
              <w:widowControl/>
              <w:suppressLineNumbers w:val="0"/>
              <w:spacing w:line="240" w:lineRule="auto"/>
              <w:ind w:firstLine="440" w:firstLineChars="20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拓展模块是满足学生继续学习与个性发展等方面需要的选修内容，分为拓展模块一和拓展模块二。拓展模块一为限定性选修，包括球类运动、田径类运动、体操类运动、水上类运动、冰雪类运动、武术与民族传统体育类运动和新兴体育类运动7个运动技能系列。</w:t>
            </w:r>
          </w:p>
          <w:p>
            <w:pPr>
              <w:keepNext w:val="0"/>
              <w:keepLines w:val="0"/>
              <w:widowControl/>
              <w:suppressLineNumbers w:val="0"/>
              <w:spacing w:line="240" w:lineRule="auto"/>
              <w:ind w:firstLine="44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要求：</w:t>
            </w:r>
          </w:p>
          <w:p>
            <w:pPr>
              <w:keepNext w:val="0"/>
              <w:keepLines w:val="0"/>
              <w:widowControl/>
              <w:numPr>
                <w:ilvl w:val="0"/>
                <w:numId w:val="0"/>
              </w:numPr>
              <w:suppressLineNumbers w:val="0"/>
              <w:spacing w:line="240" w:lineRule="auto"/>
              <w:ind w:firstLine="440" w:firstLineChars="20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1.掌握必要的体育与健康基础理论知识；</w:t>
            </w:r>
          </w:p>
          <w:p>
            <w:pPr>
              <w:keepNext w:val="0"/>
              <w:keepLines w:val="0"/>
              <w:widowControl/>
              <w:numPr>
                <w:ilvl w:val="0"/>
                <w:numId w:val="0"/>
              </w:numPr>
              <w:suppressLineNumbers w:val="0"/>
              <w:spacing w:line="240" w:lineRule="auto"/>
              <w:ind w:firstLine="440" w:firstLineChars="20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2.国家学生体质健康测试必需达到合格以上；</w:t>
            </w:r>
          </w:p>
          <w:p>
            <w:pPr>
              <w:keepNext w:val="0"/>
              <w:keepLines w:val="0"/>
              <w:widowControl/>
              <w:numPr>
                <w:ilvl w:val="0"/>
                <w:numId w:val="0"/>
              </w:numPr>
              <w:suppressLineNumbers w:val="0"/>
              <w:spacing w:line="240" w:lineRule="auto"/>
              <w:ind w:firstLine="440" w:firstLineChars="20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3.掌握二项体育运动技能，并能应用于日常体育锻炼。</w:t>
            </w:r>
          </w:p>
        </w:tc>
      </w:tr>
      <w:tr>
        <w:tblPrEx>
          <w:shd w:val="clear" w:color="auto" w:fill="auto"/>
          <w:tblCellMar>
            <w:top w:w="0" w:type="dxa"/>
            <w:left w:w="0" w:type="dxa"/>
            <w:bottom w:w="0" w:type="dxa"/>
            <w:right w:w="0" w:type="dxa"/>
          </w:tblCellMar>
        </w:tblPrEx>
        <w:trPr>
          <w:trHeight w:val="2840" w:hRule="atLeast"/>
        </w:trPr>
        <w:tc>
          <w:tcPr>
            <w:tcW w:w="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艺术</w:t>
            </w:r>
          </w:p>
        </w:tc>
        <w:tc>
          <w:tcPr>
            <w:tcW w:w="2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培养学生了解或掌握不同艺术门类的基本知识、技能和原理，引导学生树立正确的世界观、人生观和价值观，增强文化自觉与自信，丰富学生人文素养，提高学生审美素质，培育学生职业素养、创新能力与合作意识。</w:t>
            </w:r>
          </w:p>
        </w:tc>
        <w:tc>
          <w:tcPr>
            <w:tcW w:w="5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firstLine="44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由基础模块和拓展模块二部分构成，</w:t>
            </w:r>
          </w:p>
          <w:p>
            <w:pPr>
              <w:keepNext w:val="0"/>
              <w:keepLines w:val="0"/>
              <w:widowControl/>
              <w:suppressLineNumbers w:val="0"/>
              <w:spacing w:line="240" w:lineRule="auto"/>
              <w:ind w:firstLine="44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基础模块培养学生创新能力和合作精神、喜闻乐见的音乐和美术作为主要内容。课内音乐18学时，美术18学时；</w:t>
            </w:r>
          </w:p>
          <w:p>
            <w:pPr>
              <w:keepNext w:val="0"/>
              <w:keepLines w:val="0"/>
              <w:widowControl/>
              <w:suppressLineNumbers w:val="0"/>
              <w:spacing w:line="240" w:lineRule="auto"/>
              <w:ind w:firstLine="44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拓展模块是适应不同专业、不同个性特点学生需要，内容既可以是基础模块的专项拓展，也可以是与基础模块不同的艺术门类；既可以是与专业相结合的艺术拓展，也可以是具有地方特色的民间艺术。</w:t>
            </w:r>
          </w:p>
          <w:p>
            <w:pPr>
              <w:keepNext w:val="0"/>
              <w:keepLines w:val="0"/>
              <w:widowControl/>
              <w:suppressLineNumbers w:val="0"/>
              <w:spacing w:line="240" w:lineRule="auto"/>
              <w:ind w:firstLine="440" w:firstLineChars="20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要求：</w:t>
            </w:r>
          </w:p>
          <w:p>
            <w:pPr>
              <w:keepNext w:val="0"/>
              <w:keepLines w:val="0"/>
              <w:widowControl/>
              <w:numPr>
                <w:ilvl w:val="0"/>
                <w:numId w:val="4"/>
              </w:numPr>
              <w:suppressLineNumbers w:val="0"/>
              <w:spacing w:line="240" w:lineRule="auto"/>
              <w:ind w:firstLine="440" w:firstLineChars="20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遵循艺术规律，注重感知体验；</w:t>
            </w:r>
          </w:p>
          <w:p>
            <w:pPr>
              <w:keepNext w:val="0"/>
              <w:keepLines w:val="0"/>
              <w:widowControl/>
              <w:numPr>
                <w:ilvl w:val="0"/>
                <w:numId w:val="4"/>
              </w:numPr>
              <w:suppressLineNumbers w:val="0"/>
              <w:spacing w:line="240" w:lineRule="auto"/>
              <w:ind w:left="0" w:leftChars="0" w:firstLine="440" w:firstLineChars="20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加强课程建设，注重衔接融合；</w:t>
            </w:r>
          </w:p>
          <w:p>
            <w:pPr>
              <w:keepNext w:val="0"/>
              <w:keepLines w:val="0"/>
              <w:widowControl/>
              <w:numPr>
                <w:ilvl w:val="0"/>
                <w:numId w:val="4"/>
              </w:numPr>
              <w:suppressLineNumbers w:val="0"/>
              <w:spacing w:line="240" w:lineRule="auto"/>
              <w:ind w:left="0" w:leftChars="0" w:firstLine="440" w:firstLineChars="20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运用信息技术，创新教学方法；</w:t>
            </w:r>
          </w:p>
          <w:p>
            <w:pPr>
              <w:keepNext w:val="0"/>
              <w:keepLines w:val="0"/>
              <w:widowControl/>
              <w:numPr>
                <w:ilvl w:val="0"/>
                <w:numId w:val="4"/>
              </w:numPr>
              <w:suppressLineNumbers w:val="0"/>
              <w:spacing w:line="240" w:lineRule="auto"/>
              <w:ind w:left="0" w:leftChars="0" w:firstLine="440" w:firstLineChars="20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充分利用资源，拓展教学领域。</w:t>
            </w:r>
          </w:p>
        </w:tc>
      </w:tr>
      <w:tr>
        <w:tblPrEx>
          <w:shd w:val="clear" w:color="auto" w:fill="auto"/>
          <w:tblCellMar>
            <w:top w:w="0" w:type="dxa"/>
            <w:left w:w="0" w:type="dxa"/>
            <w:bottom w:w="0" w:type="dxa"/>
            <w:right w:w="0" w:type="dxa"/>
          </w:tblCellMar>
        </w:tblPrEx>
        <w:trPr>
          <w:trHeight w:val="2720" w:hRule="atLeast"/>
        </w:trPr>
        <w:tc>
          <w:tcPr>
            <w:tcW w:w="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物理</w:t>
            </w:r>
          </w:p>
        </w:tc>
        <w:tc>
          <w:tcPr>
            <w:tcW w:w="2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培养社会实用型人才而开设的公共必修课。培养学生在职业实践活动的基础上掌握物理知识并在生活、生产、实践中合理应用，让学生感受物理之美，提高学生的科学文化素质和综合职业能力。</w:t>
            </w:r>
          </w:p>
        </w:tc>
        <w:tc>
          <w:tcPr>
            <w:tcW w:w="5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由基础模块、职业模块和拓展模块三个模块构成。</w:t>
            </w:r>
          </w:p>
          <w:p>
            <w:pPr>
              <w:keepNext w:val="0"/>
              <w:keepLines w:val="0"/>
              <w:widowControl/>
              <w:suppressLineNumbers w:val="0"/>
              <w:spacing w:line="240" w:lineRule="auto"/>
              <w:ind w:firstLine="440" w:firstLineChars="20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（1）基础模块：主要包括物理基础和基本技能，为本课程的基础性内容和应达到的基本要求。</w:t>
            </w:r>
          </w:p>
          <w:p>
            <w:pPr>
              <w:keepNext w:val="0"/>
              <w:keepLines w:val="0"/>
              <w:widowControl/>
              <w:suppressLineNumbers w:val="0"/>
              <w:spacing w:line="240" w:lineRule="auto"/>
              <w:ind w:firstLine="440" w:firstLineChars="20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（2）职业模块：学生在基础模块的基础上，以专业学习和行业的需求，侧重选择性地进一步学习相关的物理知识，培养相关技能，为适应学生相关专业需要的限定选修模块。</w:t>
            </w:r>
          </w:p>
          <w:p>
            <w:pPr>
              <w:keepNext w:val="0"/>
              <w:keepLines w:val="0"/>
              <w:widowControl/>
              <w:suppressLineNumbers w:val="0"/>
              <w:spacing w:line="240" w:lineRule="auto"/>
              <w:ind w:firstLine="440" w:firstLineChars="20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（3）拓展模块：为基础模块、职业模块的进一步拓展和延伸。</w:t>
            </w:r>
          </w:p>
          <w:p>
            <w:pPr>
              <w:keepNext w:val="0"/>
              <w:keepLines w:val="0"/>
              <w:widowControl/>
              <w:suppressLineNumbers w:val="0"/>
              <w:spacing w:line="240" w:lineRule="auto"/>
              <w:ind w:firstLine="440" w:firstLineChars="20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采用讲授、演示、实验、讨论、参观、制作等方式开展教学活动，重视实践活动、职业技能培养。</w:t>
            </w:r>
          </w:p>
        </w:tc>
      </w:tr>
      <w:tr>
        <w:tblPrEx>
          <w:shd w:val="clear" w:color="auto" w:fill="auto"/>
          <w:tblCellMar>
            <w:top w:w="0" w:type="dxa"/>
            <w:left w:w="0" w:type="dxa"/>
            <w:bottom w:w="0" w:type="dxa"/>
            <w:right w:w="0" w:type="dxa"/>
          </w:tblCellMar>
        </w:tblPrEx>
        <w:trPr>
          <w:trHeight w:val="2620" w:hRule="atLeast"/>
        </w:trPr>
        <w:tc>
          <w:tcPr>
            <w:tcW w:w="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化学</w:t>
            </w:r>
          </w:p>
        </w:tc>
        <w:tc>
          <w:tcPr>
            <w:tcW w:w="2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培养社会实用型人才而开设的公共必修课。培养学生在职业实践活动的基础上掌握化学知识并在生活、生产、实践中合理应用，让学生感受化学之美，提高学生的科学文化素质和综合职业能力。</w:t>
            </w:r>
          </w:p>
        </w:tc>
        <w:tc>
          <w:tcPr>
            <w:tcW w:w="5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firstLine="44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由基础模块和拓展模块两部分组成。</w:t>
            </w:r>
          </w:p>
          <w:p>
            <w:pPr>
              <w:keepNext w:val="0"/>
              <w:keepLines w:val="0"/>
              <w:widowControl/>
              <w:suppressLineNumbers w:val="0"/>
              <w:spacing w:line="240" w:lineRule="auto"/>
              <w:ind w:firstLine="44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基础模块由化学基础知识、基本操作技能、基本方法，选取原子结构与化学键、化学反应及其规律、溶液与水溶液中的离子反应、常见无机物及其应用、简单有机化合物及其应用、生物大分子及合成高分子等主题，满足学生基本素质培养，适应社会发展的需要。同时，设置了医药卫生类、农林牧渔类、加工制造类三个拓展模块，满足不同专业学生职业发展的需要。</w:t>
            </w:r>
          </w:p>
          <w:p>
            <w:pPr>
              <w:keepNext w:val="0"/>
              <w:keepLines w:val="0"/>
              <w:widowControl/>
              <w:suppressLineNumbers w:val="0"/>
              <w:spacing w:line="240" w:lineRule="auto"/>
              <w:ind w:firstLine="44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拓展模块是适应学生学习医药卫生类、农林牧渔类、加工制造类等相关专业需要的必修内容。该模块包括反映职业特点和后续专业学习需要的知识性内容，以及培养学生职业能力必备的实践性内容。采用讲授、演示、实验、讨论、参观、制作等方式开展教学活动，重视实践活动、职业技能培养。</w:t>
            </w:r>
          </w:p>
        </w:tc>
      </w:tr>
      <w:tr>
        <w:tblPrEx>
          <w:shd w:val="clear" w:color="auto" w:fill="auto"/>
          <w:tblCellMar>
            <w:top w:w="0" w:type="dxa"/>
            <w:left w:w="0" w:type="dxa"/>
            <w:bottom w:w="0" w:type="dxa"/>
            <w:right w:w="0" w:type="dxa"/>
          </w:tblCellMar>
        </w:tblPrEx>
        <w:trPr>
          <w:trHeight w:val="1380" w:hRule="atLeast"/>
        </w:trPr>
        <w:tc>
          <w:tcPr>
            <w:tcW w:w="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2"/>
                <w:szCs w:val="22"/>
                <w:u w:val="none"/>
              </w:rPr>
            </w:pPr>
            <w:r>
              <w:rPr>
                <w:rFonts w:hint="eastAsia" w:ascii="宋体" w:hAnsi="宋体" w:cs="宋体"/>
                <w:b/>
                <w:i w:val="0"/>
                <w:color w:val="000000"/>
                <w:kern w:val="0"/>
                <w:sz w:val="22"/>
                <w:szCs w:val="22"/>
                <w:u w:val="none"/>
                <w:lang w:val="en-US" w:eastAsia="zh-CN" w:bidi="ar"/>
              </w:rPr>
              <w:t>莆阳文化</w:t>
            </w:r>
          </w:p>
        </w:tc>
        <w:tc>
          <w:tcPr>
            <w:tcW w:w="2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培养学生树立对待传统文化的正确态度，养好良好品德，时刻意识到自己是有德之人。</w:t>
            </w:r>
          </w:p>
        </w:tc>
        <w:tc>
          <w:tcPr>
            <w:tcW w:w="5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感受</w:t>
            </w:r>
            <w:r>
              <w:rPr>
                <w:rFonts w:hint="eastAsia" w:ascii="宋体" w:hAnsi="宋体" w:cs="宋体"/>
                <w:i w:val="0"/>
                <w:color w:val="000000"/>
                <w:kern w:val="0"/>
                <w:sz w:val="22"/>
                <w:szCs w:val="22"/>
                <w:u w:val="none"/>
                <w:lang w:val="en-US" w:eastAsia="zh-CN" w:bidi="ar"/>
              </w:rPr>
              <w:t>莆阳文化</w:t>
            </w:r>
            <w:r>
              <w:rPr>
                <w:rFonts w:hint="eastAsia" w:ascii="宋体" w:hAnsi="宋体" w:eastAsia="宋体" w:cs="宋体"/>
                <w:i w:val="0"/>
                <w:color w:val="000000"/>
                <w:kern w:val="0"/>
                <w:sz w:val="22"/>
                <w:szCs w:val="22"/>
                <w:u w:val="none"/>
                <w:lang w:val="en-US" w:eastAsia="zh-CN" w:bidi="ar"/>
              </w:rPr>
              <w:t>的继承，主要学习</w:t>
            </w:r>
            <w:r>
              <w:rPr>
                <w:rFonts w:hint="eastAsia" w:ascii="宋体" w:hAnsi="宋体" w:cs="宋体"/>
                <w:i w:val="0"/>
                <w:color w:val="000000"/>
                <w:kern w:val="0"/>
                <w:sz w:val="22"/>
                <w:szCs w:val="22"/>
                <w:u w:val="none"/>
                <w:lang w:val="en-US" w:eastAsia="zh-CN" w:bidi="ar"/>
              </w:rPr>
              <w:t>莆阳文化</w:t>
            </w:r>
            <w:r>
              <w:rPr>
                <w:rFonts w:hint="eastAsia" w:ascii="宋体" w:hAnsi="宋体" w:eastAsia="宋体" w:cs="宋体"/>
                <w:i w:val="0"/>
                <w:color w:val="000000"/>
                <w:kern w:val="0"/>
                <w:sz w:val="22"/>
                <w:szCs w:val="22"/>
                <w:u w:val="none"/>
                <w:lang w:val="en-US" w:eastAsia="zh-CN" w:bidi="ar"/>
              </w:rPr>
              <w:t>、文献文物、地区民俗。了解</w:t>
            </w:r>
            <w:r>
              <w:rPr>
                <w:rFonts w:hint="eastAsia" w:ascii="宋体" w:hAnsi="宋体" w:cs="宋体"/>
                <w:i w:val="0"/>
                <w:color w:val="000000"/>
                <w:kern w:val="0"/>
                <w:sz w:val="22"/>
                <w:szCs w:val="22"/>
                <w:u w:val="none"/>
                <w:lang w:val="en-US" w:eastAsia="zh-CN" w:bidi="ar"/>
              </w:rPr>
              <w:t>莆阳文化</w:t>
            </w:r>
            <w:r>
              <w:rPr>
                <w:rFonts w:hint="eastAsia" w:ascii="宋体" w:hAnsi="宋体" w:eastAsia="宋体" w:cs="宋体"/>
                <w:i w:val="0"/>
                <w:color w:val="000000"/>
                <w:kern w:val="0"/>
                <w:sz w:val="22"/>
                <w:szCs w:val="22"/>
                <w:u w:val="none"/>
                <w:lang w:val="en-US" w:eastAsia="zh-CN" w:bidi="ar"/>
              </w:rPr>
              <w:t>的内容、各地方的习俗以及地区古建筑的历史文明。</w:t>
            </w:r>
          </w:p>
        </w:tc>
      </w:tr>
    </w:tbl>
    <w:p>
      <w:pPr>
        <w:adjustRightInd w:val="0"/>
        <w:spacing w:line="360" w:lineRule="exact"/>
        <w:rPr>
          <w:rFonts w:ascii="宋体" w:hAnsi="宋体" w:cs="宋体"/>
          <w:sz w:val="28"/>
        </w:rPr>
      </w:pPr>
    </w:p>
    <w:p>
      <w:pPr>
        <w:keepNext w:val="0"/>
        <w:keepLines w:val="0"/>
        <w:pageBreakBefore w:val="0"/>
        <w:numPr>
          <w:ilvl w:val="0"/>
          <w:numId w:val="3"/>
        </w:numPr>
        <w:kinsoku/>
        <w:wordWrap/>
        <w:overflowPunct/>
        <w:topLinePunct w:val="0"/>
        <w:autoSpaceDE/>
        <w:autoSpaceDN/>
        <w:bidi w:val="0"/>
        <w:adjustRightInd/>
        <w:snapToGrid/>
        <w:spacing w:line="500" w:lineRule="exact"/>
        <w:ind w:left="0" w:leftChars="0" w:firstLine="562" w:firstLineChars="200"/>
        <w:textAlignment w:val="auto"/>
        <w:rPr>
          <w:rFonts w:hint="eastAsia" w:ascii="宋体" w:hAnsi="宋体" w:cs="宋体"/>
          <w:b/>
          <w:bCs/>
          <w:sz w:val="28"/>
          <w:szCs w:val="28"/>
        </w:rPr>
      </w:pPr>
      <w:r>
        <w:rPr>
          <w:rFonts w:hint="eastAsia" w:ascii="宋体" w:hAnsi="宋体" w:cs="宋体"/>
          <w:b/>
          <w:bCs/>
          <w:sz w:val="28"/>
          <w:szCs w:val="28"/>
        </w:rPr>
        <w:t>专业</w:t>
      </w:r>
      <w:r>
        <w:rPr>
          <w:rFonts w:hint="eastAsia" w:ascii="宋体" w:hAnsi="宋体" w:cs="宋体"/>
          <w:b/>
          <w:bCs/>
          <w:sz w:val="28"/>
          <w:szCs w:val="28"/>
          <w:lang w:eastAsia="zh-CN"/>
        </w:rPr>
        <w:t>（</w:t>
      </w:r>
      <w:r>
        <w:rPr>
          <w:rFonts w:hint="eastAsia" w:ascii="宋体" w:hAnsi="宋体" w:cs="宋体"/>
          <w:b/>
          <w:bCs/>
          <w:sz w:val="28"/>
          <w:szCs w:val="28"/>
        </w:rPr>
        <w:t>技能</w:t>
      </w:r>
      <w:r>
        <w:rPr>
          <w:rFonts w:hint="eastAsia" w:ascii="宋体" w:hAnsi="宋体" w:cs="宋体"/>
          <w:b/>
          <w:bCs/>
          <w:sz w:val="28"/>
          <w:szCs w:val="28"/>
          <w:lang w:eastAsia="zh-CN"/>
        </w:rPr>
        <w:t>）</w:t>
      </w:r>
      <w:r>
        <w:rPr>
          <w:rFonts w:hint="eastAsia" w:ascii="宋体" w:hAnsi="宋体" w:cs="宋体"/>
          <w:b/>
          <w:bCs/>
          <w:sz w:val="28"/>
          <w:szCs w:val="28"/>
        </w:rPr>
        <w:t>课</w:t>
      </w:r>
    </w:p>
    <w:p>
      <w:pPr>
        <w:pStyle w:val="2"/>
        <w:numPr>
          <w:ilvl w:val="0"/>
          <w:numId w:val="0"/>
        </w:numPr>
        <w:ind w:leftChars="200"/>
      </w:pPr>
    </w:p>
    <w:tbl>
      <w:tblPr>
        <w:tblStyle w:val="9"/>
        <w:tblW w:w="8959" w:type="dxa"/>
        <w:tblInd w:w="0" w:type="dxa"/>
        <w:shd w:val="clear" w:color="auto" w:fill="auto"/>
        <w:tblLayout w:type="fixed"/>
        <w:tblCellMar>
          <w:top w:w="0" w:type="dxa"/>
          <w:left w:w="0" w:type="dxa"/>
          <w:bottom w:w="0" w:type="dxa"/>
          <w:right w:w="0" w:type="dxa"/>
        </w:tblCellMar>
      </w:tblPr>
      <w:tblGrid>
        <w:gridCol w:w="690"/>
        <w:gridCol w:w="2532"/>
        <w:gridCol w:w="5737"/>
      </w:tblGrid>
      <w:tr>
        <w:tblPrEx>
          <w:tblCellMar>
            <w:top w:w="0" w:type="dxa"/>
            <w:left w:w="0" w:type="dxa"/>
            <w:bottom w:w="0" w:type="dxa"/>
            <w:right w:w="0" w:type="dxa"/>
          </w:tblCellMar>
        </w:tblPrEx>
        <w:trPr>
          <w:trHeight w:val="474"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课程名称</w:t>
            </w:r>
          </w:p>
        </w:tc>
        <w:tc>
          <w:tcPr>
            <w:tcW w:w="2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课程目标</w:t>
            </w:r>
          </w:p>
        </w:tc>
        <w:tc>
          <w:tcPr>
            <w:tcW w:w="5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课程内容和要求</w:t>
            </w:r>
          </w:p>
        </w:tc>
      </w:tr>
      <w:tr>
        <w:tblPrEx>
          <w:shd w:val="clear" w:color="auto" w:fill="auto"/>
          <w:tblCellMar>
            <w:top w:w="0" w:type="dxa"/>
            <w:left w:w="0" w:type="dxa"/>
            <w:bottom w:w="0" w:type="dxa"/>
            <w:right w:w="0" w:type="dxa"/>
          </w:tblCellMar>
        </w:tblPrEx>
        <w:trPr>
          <w:trHeight w:val="511"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机械基础</w:t>
            </w:r>
          </w:p>
        </w:tc>
        <w:tc>
          <w:tcPr>
            <w:tcW w:w="2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培养学生具有机械基础的基本常识。通过教学，初步具有分析和选用机械零部件及简单机械传动装置的能力；能熟练查阅、运用有关资料，初步具有正确操作和维护机械设备的能力；熟悉常用机械制造基础知识；为学生学习后续专业课程和解决生产实际问题奠定</w:t>
            </w:r>
          </w:p>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基础。</w:t>
            </w:r>
          </w:p>
        </w:tc>
        <w:tc>
          <w:tcPr>
            <w:tcW w:w="5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教学内容：带传动，螺旋传动，链传动，齿轮传动，蜗杆传动，轮系，平面连杆机构，凸轮机构，其他常用机构，轴，键、销及其连接，轴承，联轴器、离合器和制动器，液压传动和气压传动等。</w:t>
            </w:r>
          </w:p>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spacing w:line="240" w:lineRule="auto"/>
              <w:ind w:firstLine="440" w:firstLineChars="20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教学要求：了解机器的组成；熟练掌握常见机构和传动方式的工作原理、特点、结构及标准；掌握通用零件的用途、特点以及选材等机械基础知识；初步具有</w:t>
            </w:r>
          </w:p>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使用和维护一般机械的能力。</w:t>
            </w:r>
          </w:p>
        </w:tc>
      </w:tr>
      <w:tr>
        <w:tblPrEx>
          <w:shd w:val="clear" w:color="auto" w:fill="auto"/>
          <w:tblCellMar>
            <w:top w:w="0" w:type="dxa"/>
            <w:left w:w="0" w:type="dxa"/>
            <w:bottom w:w="0" w:type="dxa"/>
            <w:right w:w="0" w:type="dxa"/>
          </w:tblCellMar>
        </w:tblPrEx>
        <w:trPr>
          <w:trHeight w:val="2066"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机械制图</w:t>
            </w:r>
          </w:p>
        </w:tc>
        <w:tc>
          <w:tcPr>
            <w:tcW w:w="2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培养学生具有一定空间想象能力和基本绘图技能，具有一定的视读机械图样能力和初步的图示表达能力。使学生能够用计算机会只</w:t>
            </w:r>
          </w:p>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简单地图形。</w:t>
            </w:r>
          </w:p>
        </w:tc>
        <w:tc>
          <w:tcPr>
            <w:tcW w:w="5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教学内容：主要内容有制图的基本知识，点、直线、平面的投影，立体投影，组合体，轴测图，机件的表达方法，标准件和常用件，零件图，装配图。</w:t>
            </w:r>
          </w:p>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w:t>
            </w:r>
          </w:p>
          <w:p>
            <w:pPr>
              <w:keepNext w:val="0"/>
              <w:keepLines w:val="0"/>
              <w:widowControl/>
              <w:suppressLineNumbers w:val="0"/>
              <w:spacing w:line="240" w:lineRule="auto"/>
              <w:ind w:firstLine="440" w:firstLineChars="20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教学要求：本课程教学中要强调理论联系实际，讲练结合，制图教学与生产实习相结合，尽量利用本专业的实习零件图或实物组织教学。加强测绘练习实践环</w:t>
            </w:r>
          </w:p>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节，从而培养学生的空间想象能力。</w:t>
            </w:r>
          </w:p>
        </w:tc>
      </w:tr>
      <w:tr>
        <w:tblPrEx>
          <w:shd w:val="clear" w:color="auto" w:fill="auto"/>
          <w:tblCellMar>
            <w:top w:w="0" w:type="dxa"/>
            <w:left w:w="0" w:type="dxa"/>
            <w:bottom w:w="0" w:type="dxa"/>
            <w:right w:w="0" w:type="dxa"/>
          </w:tblCellMar>
        </w:tblPrEx>
        <w:trPr>
          <w:trHeight w:val="2293"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钳工技术</w:t>
            </w:r>
          </w:p>
        </w:tc>
        <w:tc>
          <w:tcPr>
            <w:tcW w:w="2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培养学生钳工操作的基本实操技能。通过任务引领、工艺分析、数学处理、常用工量具的使用、钻床操作和加工实训等活动项目，使学生具备从事本职业工种所必需的钳工操作技术。同时培养学生爱岗敬业、团结协作、吃苦耐劳的职业精神</w:t>
            </w:r>
          </w:p>
        </w:tc>
        <w:tc>
          <w:tcPr>
            <w:tcW w:w="5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教学内容：钳工的工作内容，金属切削基础知识，钳工常用量具，划线、锯削、锉削、錾削、钻孔、铰孔、锪孔刮削、攻螺纹绕弹簧等钳工基本操作技能，钳工常用设备及工具。</w:t>
            </w:r>
          </w:p>
          <w:p>
            <w:pPr>
              <w:keepNext w:val="0"/>
              <w:keepLines w:val="0"/>
              <w:widowControl/>
              <w:suppressLineNumbers w:val="0"/>
              <w:spacing w:line="240" w:lineRule="auto"/>
              <w:ind w:firstLine="440" w:firstLineChars="20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学要求：通过理论实践教学，让学生掌握钳工所要求的理论知识和操作技能，了解钳工常用设备的规格性能结构传动和润滑知识，了解金属切削的基本原理，使用规则及保养方法，掌握钳工常用的加工方法，具备一定的工艺分析能力，了解机器的装配基本知识。</w:t>
            </w:r>
          </w:p>
        </w:tc>
      </w:tr>
      <w:tr>
        <w:tblPrEx>
          <w:shd w:val="clear" w:color="auto" w:fill="auto"/>
          <w:tblCellMar>
            <w:top w:w="0" w:type="dxa"/>
            <w:left w:w="0" w:type="dxa"/>
            <w:bottom w:w="0" w:type="dxa"/>
            <w:right w:w="0" w:type="dxa"/>
          </w:tblCellMar>
        </w:tblPrEx>
        <w:trPr>
          <w:trHeight w:val="2748"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零件测量技术</w:t>
            </w:r>
          </w:p>
        </w:tc>
        <w:tc>
          <w:tcPr>
            <w:tcW w:w="2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通过本课程的学习，使学生建立互换性、公差与高质量产品的概念；能正确识读、标注一般机械图纸上公差、配合及表面粗糙度要求，并能熟练查用相关国家标准；能正确选择和使用生产现场的常用量具对一般的几</w:t>
            </w:r>
          </w:p>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何量进行综合检测。</w:t>
            </w:r>
          </w:p>
        </w:tc>
        <w:tc>
          <w:tcPr>
            <w:tcW w:w="5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主要内容：尺寸精度的检测、形状和位置精度的检测、表面粗糙度的检测、常用结合件的检测、检测新技术简介、典型零件检测与质量控制等。</w:t>
            </w:r>
          </w:p>
          <w:p>
            <w:pPr>
              <w:keepNext w:val="0"/>
              <w:keepLines w:val="0"/>
              <w:widowControl/>
              <w:suppressLineNumbers w:val="0"/>
              <w:spacing w:line="240" w:lineRule="auto"/>
              <w:ind w:firstLine="440" w:firstLineChars="20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学要求：通过本课程的学习，使学生了解国家标准中有关公差、配合等方面的基本术语及其定义，熟悉极限与配合标准的基本规定，掌握极限与配合方面的基本计算方法及代号的标注和识读；了解形位公差的基本内容，理解形位公差代号的含义，掌握形位公差代号的标注方法；了解表面粗糙度的评定标准及基本的检测方法，掌握表面粗糙度符号、代号的注法。</w:t>
            </w:r>
          </w:p>
        </w:tc>
      </w:tr>
      <w:tr>
        <w:tblPrEx>
          <w:shd w:val="clear" w:color="auto" w:fill="auto"/>
          <w:tblCellMar>
            <w:top w:w="0" w:type="dxa"/>
            <w:left w:w="0" w:type="dxa"/>
            <w:bottom w:w="0" w:type="dxa"/>
            <w:right w:w="0" w:type="dxa"/>
          </w:tblCellMar>
        </w:tblPrEx>
        <w:trPr>
          <w:trHeight w:val="2066"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CAD</w:t>
            </w:r>
          </w:p>
          <w:p>
            <w:pPr>
              <w:keepNext w:val="0"/>
              <w:keepLines w:val="0"/>
              <w:widowControl/>
              <w:suppressLineNumbers w:val="0"/>
              <w:spacing w:line="240" w:lineRule="auto"/>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二维绘图技术</w:t>
            </w:r>
          </w:p>
        </w:tc>
        <w:tc>
          <w:tcPr>
            <w:tcW w:w="2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培养学生应用CAD软件进行绘图的基本技能。掌握CAD基本命令和灵活运用能力；培养空间想象能力和一定的分析与表达能力；</w:t>
            </w:r>
          </w:p>
          <w:p>
            <w:pPr>
              <w:keepNext w:val="0"/>
              <w:keepLines w:val="0"/>
              <w:widowControl/>
              <w:suppressLineNumbers w:val="0"/>
              <w:spacing w:line="240" w:lineRule="auto"/>
              <w:ind w:firstLine="440" w:firstLineChars="20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培养使用计算机设备与CAD软件绘制机械图样的能力；培养认真细致、一丝不苟的工作作风。</w:t>
            </w:r>
          </w:p>
        </w:tc>
        <w:tc>
          <w:tcPr>
            <w:tcW w:w="5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教学内容：CAD基础知识与绘图环境设置、基本图形的绘制、简单图形（轴套类、轮盘类零件）的绘制、综合零件（叉架类、箱体类零件）的绘制、装配图的绘制及三维零件的建模。</w:t>
            </w:r>
          </w:p>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w:t>
            </w:r>
          </w:p>
          <w:p>
            <w:pPr>
              <w:keepNext w:val="0"/>
              <w:keepLines w:val="0"/>
              <w:widowControl/>
              <w:suppressLineNumbers w:val="0"/>
              <w:spacing w:line="240" w:lineRule="auto"/>
              <w:ind w:firstLine="440" w:firstLineChars="20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教学要求：通过教学，使学生熟悉CAD二维绘图的一般步骤和流程;掌握二维绘图软件的常用绘图方法和技巧，掌握零件图、装配图的标准画法与技巧；</w:t>
            </w:r>
          </w:p>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能熟练绘制零件图。</w:t>
            </w:r>
          </w:p>
        </w:tc>
      </w:tr>
      <w:tr>
        <w:tblPrEx>
          <w:shd w:val="clear" w:color="auto" w:fill="auto"/>
          <w:tblCellMar>
            <w:top w:w="0" w:type="dxa"/>
            <w:left w:w="0" w:type="dxa"/>
            <w:bottom w:w="0" w:type="dxa"/>
            <w:right w:w="0" w:type="dxa"/>
          </w:tblCellMar>
        </w:tblPrEx>
        <w:trPr>
          <w:trHeight w:val="252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数控编程与</w:t>
            </w:r>
          </w:p>
          <w:p>
            <w:pPr>
              <w:keepNext w:val="0"/>
              <w:keepLines w:val="0"/>
              <w:widowControl/>
              <w:suppressLineNumbers w:val="0"/>
              <w:spacing w:line="240" w:lineRule="auto"/>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加工</w:t>
            </w:r>
          </w:p>
        </w:tc>
        <w:tc>
          <w:tcPr>
            <w:tcW w:w="2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培养学生具备数控加工的基本知识。通过教学，使学生了解数控加工的基本原理和技术特点，了解数控加工系统，掌握数控加工和编程基础知识，熟悉数控程序代码和格式，了解各种数控加工刀具的结构和用途，具有一定的手工编程能力。该课程重点培养学生数控车、数控铣手工编程的能力。</w:t>
            </w:r>
          </w:p>
        </w:tc>
        <w:tc>
          <w:tcPr>
            <w:tcW w:w="5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教学内容：数控车床的操作训练、轴类零件的编程与加工训练、套类零件的编程与加工训练、盘类零 件编程与加工训练、组合类零件的编程与加工训练、数控车中级工编程与训练。</w:t>
            </w:r>
          </w:p>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w:t>
            </w:r>
          </w:p>
          <w:p>
            <w:pPr>
              <w:keepNext w:val="0"/>
              <w:keepLines w:val="0"/>
              <w:widowControl/>
              <w:suppressLineNumbers w:val="0"/>
              <w:spacing w:line="240" w:lineRule="auto"/>
              <w:ind w:firstLine="440" w:firstLineChars="20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学要求：通过学习掌握数控仿真软件验证数控车床加工程序；掌握使用数控车床进行轮廓、螺纹、槽及孔的加工；掌握零件的长度、内径、外径、螺纹和角度的精度检验；掌握数控车床的正确操作，独立完成零件的数控车削加工；能对数控机床进行日常的维护保养。</w:t>
            </w:r>
          </w:p>
        </w:tc>
      </w:tr>
      <w:tr>
        <w:tblPrEx>
          <w:shd w:val="clear" w:color="auto" w:fill="auto"/>
          <w:tblCellMar>
            <w:top w:w="0" w:type="dxa"/>
            <w:left w:w="0" w:type="dxa"/>
            <w:bottom w:w="0" w:type="dxa"/>
            <w:right w:w="0" w:type="dxa"/>
          </w:tblCellMar>
        </w:tblPrEx>
        <w:trPr>
          <w:trHeight w:val="252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三维建模设计</w:t>
            </w:r>
          </w:p>
        </w:tc>
        <w:tc>
          <w:tcPr>
            <w:tcW w:w="2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sz w:val="22"/>
                <w:szCs w:val="22"/>
              </w:rPr>
              <w:t>培养学生具备运用三维设计软件进行三维建模、自动编程、装配设计、工程图制作的基本能力。</w:t>
            </w:r>
          </w:p>
        </w:tc>
        <w:tc>
          <w:tcPr>
            <w:tcW w:w="5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440" w:firstLineChars="200"/>
              <w:jc w:val="left"/>
              <w:rPr>
                <w:rFonts w:hint="eastAsia" w:ascii="宋体" w:hAnsi="宋体" w:eastAsia="宋体" w:cs="宋体"/>
                <w:sz w:val="22"/>
                <w:szCs w:val="22"/>
              </w:rPr>
            </w:pPr>
            <w:r>
              <w:rPr>
                <w:rFonts w:hint="eastAsia" w:ascii="宋体" w:hAnsi="宋体" w:eastAsia="宋体" w:cs="宋体"/>
                <w:sz w:val="22"/>
                <w:szCs w:val="22"/>
              </w:rPr>
              <w:t>教学内容：主要内容有三维建模软件零件建模基础 部件装配设计、零件图的绘制、三维装配视图、工程图制作和设计表达的基本方法和操作步骤。</w:t>
            </w:r>
          </w:p>
          <w:p>
            <w:pPr>
              <w:keepNext w:val="0"/>
              <w:keepLines w:val="0"/>
              <w:widowControl/>
              <w:suppressLineNumbers w:val="0"/>
              <w:spacing w:line="240" w:lineRule="auto"/>
              <w:ind w:firstLine="440" w:firstLineChars="200"/>
              <w:jc w:val="left"/>
              <w:textAlignment w:val="center"/>
              <w:rPr>
                <w:rFonts w:hint="eastAsia" w:ascii="宋体" w:hAnsi="宋体" w:eastAsia="宋体" w:cs="宋体"/>
                <w:sz w:val="22"/>
                <w:szCs w:val="22"/>
              </w:rPr>
            </w:pPr>
          </w:p>
          <w:p>
            <w:pPr>
              <w:keepNext w:val="0"/>
              <w:keepLines w:val="0"/>
              <w:widowControl/>
              <w:suppressLineNumbers w:val="0"/>
              <w:spacing w:line="240" w:lineRule="auto"/>
              <w:ind w:firstLine="440" w:firstLineChars="20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sz w:val="22"/>
                <w:szCs w:val="22"/>
              </w:rPr>
              <w:t>教学要求：通过教学，使学生掌握三维设计软件三维建模的基本方法和操作步骤。了解零件图、装配设计和工程图制作的基本方法和操作步骤。</w:t>
            </w:r>
          </w:p>
        </w:tc>
      </w:tr>
      <w:tr>
        <w:tblPrEx>
          <w:shd w:val="clear" w:color="auto" w:fill="auto"/>
          <w:tblCellMar>
            <w:top w:w="0" w:type="dxa"/>
            <w:left w:w="0" w:type="dxa"/>
            <w:bottom w:w="0" w:type="dxa"/>
            <w:right w:w="0" w:type="dxa"/>
          </w:tblCellMar>
        </w:tblPrEx>
        <w:trPr>
          <w:trHeight w:val="3657"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3D</w:t>
            </w:r>
          </w:p>
          <w:p>
            <w:pPr>
              <w:keepNext w:val="0"/>
              <w:keepLines w:val="0"/>
              <w:widowControl/>
              <w:suppressLineNumbers w:val="0"/>
              <w:spacing w:line="240" w:lineRule="auto"/>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打印技术应用</w:t>
            </w:r>
          </w:p>
        </w:tc>
        <w:tc>
          <w:tcPr>
            <w:tcW w:w="2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通过本课程的学习，要让学生全面掌握3D打印零件从设计到加工，到后处理的整个工艺流程；掌握打印机的结构和操作方法；掌握切片软件，模型拆分软件的使用方法；掌握复杂零件打印和装配的方法；体验自主设计一个产品并打印制造出来的整个过程，满足学生设计、创新并付诸实践的需</w:t>
            </w:r>
          </w:p>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求。</w:t>
            </w:r>
          </w:p>
        </w:tc>
        <w:tc>
          <w:tcPr>
            <w:tcW w:w="5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主要内容：介绍3D打印成形工艺分类、3D打印机与打印材料等；通过软件与实例讲解结合，内容涵盖了三维造型软件（Creo、3DStudioMax）、逆向工程软件（GeomagicStudio）、3D打印软件（Simplify3D、Makerware、Cura）、医学影像处理软件（Mimics）及STL数据编辑与修复软件（Netfabb、Meshmixer、Magics）；后通过3D打印机组装实战，重在培养读者动手操作与团队协作能力。</w:t>
            </w:r>
          </w:p>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w:t>
            </w:r>
          </w:p>
          <w:p>
            <w:pPr>
              <w:keepNext w:val="0"/>
              <w:keepLines w:val="0"/>
              <w:widowControl/>
              <w:suppressLineNumbers w:val="0"/>
              <w:spacing w:line="240" w:lineRule="auto"/>
              <w:ind w:firstLine="440" w:firstLineChars="20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学要求：通过本课程的学习，要让学生全面掌握3D打印零件从设计到加工，到后处理的整个工艺流程；掌握打印机的结构和操作方法；掌握切片软件，模型拆分软件的使用方法；掌握复杂零件打印和装配的方法；体验自主设计一个产品并打印制造出来的整个过程，满足学生设计、创新并付诸实践的需求。</w:t>
            </w:r>
          </w:p>
        </w:tc>
      </w:tr>
      <w:tr>
        <w:tblPrEx>
          <w:shd w:val="clear" w:color="auto" w:fill="auto"/>
          <w:tblCellMar>
            <w:top w:w="0" w:type="dxa"/>
            <w:left w:w="0" w:type="dxa"/>
            <w:bottom w:w="0" w:type="dxa"/>
            <w:right w:w="0" w:type="dxa"/>
          </w:tblCellMar>
        </w:tblPrEx>
        <w:trPr>
          <w:trHeight w:val="3657"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零部件测绘综合实训</w:t>
            </w:r>
          </w:p>
        </w:tc>
        <w:tc>
          <w:tcPr>
            <w:tcW w:w="2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在本课程中，学生将接触较大型的设计绘图训练，把所学到的制图知识全面、综合性地运用到测绘实践中，巩固机械制图课的学习效果，提升实际动手能力（如零件拆装、测绘工具使用、徒手绘图、仪器绘图以及图样管理等），为后续的课程设计、毕业设计等环节打下必要扎实的基础。</w:t>
            </w:r>
          </w:p>
        </w:tc>
        <w:tc>
          <w:tcPr>
            <w:tcW w:w="5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主要内容：弄清部件的工作原理、装配关系及零件的构型特点；正确使用工具拆卸零、部件，有序管理所拆零件（尤其是小零件）；正确使用测量工具，所测尺寸能作规范（或标准）处理，相关零件间的尺寸要匹配；合理制定零部件的表达方案，见解应独特、明晰；正确注写零件图、装配图的尺寸及技术要求；具备徒手、尺规作图的技能；图样的格式、管理应规范。</w:t>
            </w:r>
          </w:p>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w:t>
            </w:r>
          </w:p>
          <w:p>
            <w:pPr>
              <w:keepNext w:val="0"/>
              <w:keepLines w:val="0"/>
              <w:widowControl/>
              <w:suppressLineNumbers w:val="0"/>
              <w:spacing w:line="240" w:lineRule="auto"/>
              <w:ind w:firstLine="440" w:firstLineChars="20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学要求：实训教学中结合本专业实习产品的质量实际，举一反三，深入浅出，使学生正确、熟练地使用测绘工具，规范处理、妥善管理所测数据，并将数据合理地用于绘图中。对学生进行了全面的制图知识训练，大幅提升了学生综合处理机械图样的能力，其影响将辐射后续的课程设计、毕业设计甚或未来的工作。</w:t>
            </w:r>
          </w:p>
        </w:tc>
      </w:tr>
      <w:tr>
        <w:tblPrEx>
          <w:shd w:val="clear" w:color="auto" w:fill="auto"/>
          <w:tblCellMar>
            <w:top w:w="0" w:type="dxa"/>
            <w:left w:w="0" w:type="dxa"/>
            <w:bottom w:w="0" w:type="dxa"/>
            <w:right w:w="0" w:type="dxa"/>
          </w:tblCellMar>
        </w:tblPrEx>
        <w:trPr>
          <w:trHeight w:val="2066"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电工基础</w:t>
            </w:r>
          </w:p>
        </w:tc>
        <w:tc>
          <w:tcPr>
            <w:tcW w:w="2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本课程通过学习，使学生具备本专业的高素质劳动者和高级技术应用性人才所必须的电路的基本理论和分析计算的基本方法。培养学生具有一定的电工实验技能，为进一步学习其他专业课打下基础。同时培养学生爱岗敬业、团结协作的职业精神。</w:t>
            </w:r>
          </w:p>
        </w:tc>
        <w:tc>
          <w:tcPr>
            <w:tcW w:w="5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主要内容：主要内容有直流电路，磁场与电磁感应，正弦交流电，周期性非正弦交流电路。</w:t>
            </w:r>
          </w:p>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w:t>
            </w:r>
          </w:p>
          <w:p>
            <w:pPr>
              <w:keepNext w:val="0"/>
              <w:keepLines w:val="0"/>
              <w:widowControl/>
              <w:suppressLineNumbers w:val="0"/>
              <w:spacing w:line="240" w:lineRule="auto"/>
              <w:ind w:firstLine="440" w:firstLineChars="20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教学要求：教学中要启发引导学生学会分析求解电工题的基本方法，注意理论联系实际，培养学生分析问题和解决问题的能力，注意与物理课的衔接，完成规定的电工实验。</w:t>
            </w:r>
          </w:p>
        </w:tc>
      </w:tr>
      <w:tr>
        <w:tblPrEx>
          <w:shd w:val="clear" w:color="auto" w:fill="auto"/>
          <w:tblCellMar>
            <w:top w:w="0" w:type="dxa"/>
            <w:left w:w="0" w:type="dxa"/>
            <w:bottom w:w="0" w:type="dxa"/>
            <w:right w:w="0" w:type="dxa"/>
          </w:tblCellMar>
        </w:tblPrEx>
        <w:trPr>
          <w:trHeight w:val="2748"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3D</w:t>
            </w:r>
          </w:p>
          <w:p>
            <w:pPr>
              <w:keepNext w:val="0"/>
              <w:keepLines w:val="0"/>
              <w:widowControl/>
              <w:suppressLineNumbers w:val="0"/>
              <w:spacing w:line="240" w:lineRule="auto"/>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打印综合实训</w:t>
            </w:r>
          </w:p>
        </w:tc>
        <w:tc>
          <w:tcPr>
            <w:tcW w:w="2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要让学生全面掌握3D打印零件从设计到加工，到后处理的整个工艺流程；掌握打印机的结构和操作方法；掌握切片软件，模型拆分软件的使用方法；掌握复杂零件打印和装配的方法；体验自主设计一个产品并打印制造出来的整个过程，满足学生设计、创新并付诸实践的需求。</w:t>
            </w:r>
          </w:p>
        </w:tc>
        <w:tc>
          <w:tcPr>
            <w:tcW w:w="5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教学内容：掌握基于特征的产品设计结构部件的建模方法，掌握三维实体造型、建模、曲面设计打印与制造工艺。</w:t>
            </w:r>
          </w:p>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w:t>
            </w:r>
          </w:p>
          <w:p>
            <w:pPr>
              <w:keepNext w:val="0"/>
              <w:keepLines w:val="0"/>
              <w:widowControl/>
              <w:suppressLineNumbers w:val="0"/>
              <w:spacing w:line="240" w:lineRule="auto"/>
              <w:ind w:firstLine="440" w:firstLineChars="20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学要求：阅读分析产品快速表现图纸、产品草绘结构及产品相关零件图；提升学生的设计空间的想象能力；产品设计出图能力；能完成不同软件间的文件交换与共享。掌握基于特征的产品设计结构部件的建模方法，掌握三维实体造型、建模、曲面设计打印与制造工艺。通过学习完本课程，达到培养学生独立分析问题，解决问题的能力；拥有实事求是的学风和创新精神；具有培养良好的协作精神。</w:t>
            </w:r>
          </w:p>
        </w:tc>
      </w:tr>
      <w:tr>
        <w:tblPrEx>
          <w:shd w:val="clear" w:color="auto" w:fill="auto"/>
          <w:tblCellMar>
            <w:top w:w="0" w:type="dxa"/>
            <w:left w:w="0" w:type="dxa"/>
            <w:bottom w:w="0" w:type="dxa"/>
            <w:right w:w="0" w:type="dxa"/>
          </w:tblCellMar>
        </w:tblPrEx>
        <w:trPr>
          <w:trHeight w:val="3203"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数控加工综合实训</w:t>
            </w:r>
          </w:p>
        </w:tc>
        <w:tc>
          <w:tcPr>
            <w:tcW w:w="2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培养学生数控加工的综合能力。以数控加工综合实训为目标，以数控工艺、编程和机床操作三大技术为核心，全面、系统地介绍了数控加工的工艺分析，数控加工的编程基础与自动编程方法，数控车削加工、加工中心。重在综合性，实践性，通过典型零件加工实例并经过实际操作，全面提高学生对数控机床的编程和操作水平。通过本课程的学习,为全面提高学生的综合能力提供有力的保障。</w:t>
            </w:r>
          </w:p>
        </w:tc>
        <w:tc>
          <w:tcPr>
            <w:tcW w:w="5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主要内容：本课程是数控专业的一门重要的综合性专业实践教学课程，是对学生的数车、数控铣削加工工艺规程设计及实施能力、数控编程能力、数控车床操作及加工调整能力、数控铣床（加工中心）操作及加工调整能力、加工现场协调能力等综合训练和评价。</w:t>
            </w:r>
          </w:p>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w:t>
            </w:r>
          </w:p>
          <w:p>
            <w:pPr>
              <w:keepNext w:val="0"/>
              <w:keepLines w:val="0"/>
              <w:widowControl/>
              <w:suppressLineNumbers w:val="0"/>
              <w:spacing w:line="240" w:lineRule="auto"/>
              <w:ind w:firstLine="440" w:firstLineChars="20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学要求：通过学习掌握数控仿真软件验证数控车床加工程序；掌握使用数控车床进行轮廓、螺纹、槽及孔的加工；掌握零件的长度、内径、外径、螺纹和角度的精度检验；掌握数控车床的正确操作，独立完成零件的数控车削加工；能对数控机床进行日常的维护保养。通过实训使学生初步具备数控铣削加工技术的综合应用能力，达到数控车和数控铣中级工要求。</w:t>
            </w:r>
          </w:p>
        </w:tc>
      </w:tr>
      <w:tr>
        <w:tblPrEx>
          <w:shd w:val="clear" w:color="auto" w:fill="auto"/>
          <w:tblCellMar>
            <w:top w:w="0" w:type="dxa"/>
            <w:left w:w="0" w:type="dxa"/>
            <w:bottom w:w="0" w:type="dxa"/>
            <w:right w:w="0" w:type="dxa"/>
          </w:tblCellMar>
        </w:tblPrEx>
        <w:trPr>
          <w:trHeight w:val="738"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创业潜能开发</w:t>
            </w:r>
          </w:p>
        </w:tc>
        <w:tc>
          <w:tcPr>
            <w:tcW w:w="2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本课程基于创造学关于人的创造力开发的理论，融合并吸收了创造学、哲学、心理学、教育学、人才学、思维科学、TRIZ、可拓学等关于人的创新潜能开发的研究成果，着力于个体心理层面的创新意识唤醒、创新潜能发现、创新思维培养、创新方法学习，创新人格完善。</w:t>
            </w:r>
          </w:p>
        </w:tc>
        <w:tc>
          <w:tcPr>
            <w:tcW w:w="5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教学内容：主要内容包括认识创新与自身的创新潜能、创新思维与训练、创新方法、创新实践四个单元等学习课题。</w:t>
            </w:r>
          </w:p>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w:t>
            </w:r>
          </w:p>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教学要求：坚持面向全体、注重引导、结合专业、强化实践的原则，遵循教育教学规律，坚持理论讲授与案例分析相结合、小组讨论与角色体验相结合、经验传授与创业实践相结合，把知识传授、思想碰撞和实践体验有机统一起来，调动学生学习的积极性、主动性和创造性，不断提高教学质量和水平。</w:t>
            </w:r>
          </w:p>
        </w:tc>
      </w:tr>
    </w:tbl>
    <w:p>
      <w:pPr>
        <w:pageBreakBefore w:val="0"/>
        <w:widowControl/>
        <w:kinsoku/>
        <w:wordWrap/>
        <w:overflowPunct/>
        <w:topLinePunct w:val="0"/>
        <w:autoSpaceDE/>
        <w:autoSpaceDN/>
        <w:bidi w:val="0"/>
        <w:adjustRightInd/>
        <w:snapToGrid/>
        <w:spacing w:line="460" w:lineRule="exact"/>
        <w:ind w:firstLine="562" w:firstLineChars="200"/>
        <w:jc w:val="left"/>
        <w:rPr>
          <w:rFonts w:ascii="宋体" w:hAnsi="宋体" w:cs="宋体"/>
          <w:b/>
          <w:color w:val="171717"/>
          <w:kern w:val="0"/>
          <w:sz w:val="28"/>
          <w:szCs w:val="28"/>
        </w:rPr>
      </w:pPr>
      <w:r>
        <w:rPr>
          <w:rFonts w:hint="eastAsia" w:ascii="宋体" w:hAnsi="宋体" w:cs="宋体"/>
          <w:b/>
          <w:color w:val="171717"/>
          <w:kern w:val="0"/>
          <w:sz w:val="28"/>
          <w:szCs w:val="28"/>
        </w:rPr>
        <w:t>（三）综合实训</w:t>
      </w:r>
    </w:p>
    <w:p>
      <w:pPr>
        <w:pageBreakBefore w:val="0"/>
        <w:widowControl/>
        <w:kinsoku/>
        <w:wordWrap/>
        <w:overflowPunct/>
        <w:topLinePunct w:val="0"/>
        <w:autoSpaceDE/>
        <w:autoSpaceDN/>
        <w:bidi w:val="0"/>
        <w:adjustRightInd/>
        <w:snapToGrid/>
        <w:spacing w:line="460" w:lineRule="exact"/>
        <w:ind w:firstLine="560" w:firstLineChars="200"/>
        <w:jc w:val="left"/>
        <w:rPr>
          <w:rFonts w:ascii="宋体" w:hAnsi="宋体" w:cs="宋体"/>
          <w:sz w:val="28"/>
        </w:rPr>
      </w:pPr>
      <w:r>
        <w:rPr>
          <w:rFonts w:hint="eastAsia" w:ascii="宋体" w:hAnsi="宋体" w:cs="宋体"/>
          <w:sz w:val="28"/>
        </w:rPr>
        <w:t>综合实训教学以提升学生综合职业能力为教学目标，与企业合作开发综合实训项目，采取集中实训的教学组织形式，校企教师共同管理和考核学生。</w:t>
      </w:r>
    </w:p>
    <w:p>
      <w:pPr>
        <w:pageBreakBefore w:val="0"/>
        <w:widowControl/>
        <w:kinsoku/>
        <w:wordWrap/>
        <w:overflowPunct/>
        <w:topLinePunct w:val="0"/>
        <w:autoSpaceDE/>
        <w:autoSpaceDN/>
        <w:bidi w:val="0"/>
        <w:adjustRightInd/>
        <w:snapToGrid/>
        <w:spacing w:line="460" w:lineRule="exact"/>
        <w:ind w:firstLine="560" w:firstLineChars="200"/>
        <w:jc w:val="left"/>
        <w:rPr>
          <w:rFonts w:ascii="宋体" w:hAnsi="宋体" w:cs="宋体"/>
          <w:bCs/>
          <w:color w:val="000000"/>
          <w:kern w:val="0"/>
          <w:sz w:val="28"/>
          <w:szCs w:val="28"/>
        </w:rPr>
      </w:pPr>
      <w:r>
        <w:rPr>
          <w:rFonts w:hint="eastAsia" w:ascii="宋体" w:hAnsi="宋体" w:cs="宋体"/>
          <w:sz w:val="28"/>
        </w:rPr>
        <w:t>按数控加工实际生产和数控编程岗位的要求，结合数控机床加工，通过具体的项目训练，合理分析和处理CAD/CAM数据，分析数据、工艺和质量的关系，熟练地进行零件数据和加工程序的修改，熟练完成零件的建模、编程和加工，为到企业实习做好准备。</w:t>
      </w:r>
    </w:p>
    <w:p>
      <w:pPr>
        <w:pageBreakBefore w:val="0"/>
        <w:widowControl/>
        <w:kinsoku/>
        <w:wordWrap/>
        <w:overflowPunct/>
        <w:topLinePunct w:val="0"/>
        <w:autoSpaceDE/>
        <w:autoSpaceDN/>
        <w:bidi w:val="0"/>
        <w:adjustRightInd/>
        <w:snapToGrid/>
        <w:spacing w:line="460" w:lineRule="exact"/>
        <w:ind w:firstLine="562" w:firstLineChars="200"/>
        <w:jc w:val="left"/>
        <w:rPr>
          <w:rFonts w:ascii="宋体" w:hAnsi="宋体" w:cs="宋体"/>
          <w:b/>
          <w:color w:val="171717"/>
          <w:kern w:val="0"/>
          <w:sz w:val="28"/>
          <w:szCs w:val="28"/>
        </w:rPr>
      </w:pPr>
      <w:r>
        <w:rPr>
          <w:rFonts w:hint="eastAsia" w:ascii="宋体" w:hAnsi="宋体" w:cs="宋体"/>
          <w:b/>
          <w:color w:val="171717"/>
          <w:kern w:val="0"/>
          <w:sz w:val="28"/>
          <w:szCs w:val="28"/>
        </w:rPr>
        <w:t>（</w:t>
      </w:r>
      <w:r>
        <w:rPr>
          <w:rFonts w:hint="eastAsia" w:ascii="宋体" w:hAnsi="宋体" w:cs="宋体"/>
          <w:b/>
          <w:color w:val="171717"/>
          <w:kern w:val="0"/>
          <w:sz w:val="28"/>
          <w:szCs w:val="28"/>
          <w:lang w:val="en-US" w:eastAsia="zh-CN"/>
        </w:rPr>
        <w:t>四</w:t>
      </w:r>
      <w:r>
        <w:rPr>
          <w:rFonts w:hint="eastAsia" w:ascii="宋体" w:hAnsi="宋体" w:cs="宋体"/>
          <w:b/>
          <w:color w:val="171717"/>
          <w:kern w:val="0"/>
          <w:sz w:val="28"/>
          <w:szCs w:val="28"/>
        </w:rPr>
        <w:t>）顶岗实习</w:t>
      </w:r>
    </w:p>
    <w:p>
      <w:pPr>
        <w:pageBreakBefore w:val="0"/>
        <w:widowControl/>
        <w:kinsoku/>
        <w:wordWrap/>
        <w:overflowPunct/>
        <w:topLinePunct w:val="0"/>
        <w:autoSpaceDE/>
        <w:autoSpaceDN/>
        <w:bidi w:val="0"/>
        <w:adjustRightInd/>
        <w:snapToGrid/>
        <w:spacing w:line="460" w:lineRule="exact"/>
        <w:ind w:firstLine="560" w:firstLineChars="200"/>
        <w:jc w:val="left"/>
        <w:rPr>
          <w:rFonts w:ascii="宋体" w:hAnsi="宋体" w:cs="宋体"/>
          <w:sz w:val="28"/>
        </w:rPr>
      </w:pPr>
      <w:r>
        <w:rPr>
          <w:rFonts w:hint="eastAsia" w:ascii="宋体" w:hAnsi="宋体" w:cs="宋体"/>
          <w:sz w:val="28"/>
        </w:rPr>
        <w:t>顶岗实习是本专业学生职业技能和职业岗位工作能力培养的重要实践教学环节，要认真落实教育部、财政部关于《中等职业学校学生实习管理办法》的有关要求，保证学生顶岗实习的岗位与其所学专业面向的岗位群基本一致。在确保学生实习总量的前提下，可根据实际需要，通过校企合作，实行工学交替、多学期、分阶段安排学生实习。</w:t>
      </w:r>
    </w:p>
    <w:p>
      <w:pPr>
        <w:pageBreakBefore w:val="0"/>
        <w:widowControl/>
        <w:kinsoku/>
        <w:wordWrap/>
        <w:overflowPunct/>
        <w:topLinePunct w:val="0"/>
        <w:autoSpaceDE/>
        <w:autoSpaceDN/>
        <w:bidi w:val="0"/>
        <w:adjustRightInd/>
        <w:snapToGrid/>
        <w:spacing w:line="460" w:lineRule="exact"/>
        <w:ind w:firstLine="560" w:firstLineChars="200"/>
        <w:jc w:val="left"/>
        <w:rPr>
          <w:rFonts w:ascii="宋体" w:hAnsi="宋体" w:cs="宋体"/>
          <w:sz w:val="28"/>
        </w:rPr>
      </w:pPr>
      <w:r>
        <w:rPr>
          <w:rFonts w:hint="eastAsia" w:ascii="宋体" w:hAnsi="宋体" w:cs="宋体"/>
          <w:sz w:val="28"/>
        </w:rPr>
        <w:t>通过到企业顶岗实习等校企结合形式，培养学生的综合职业素养。针对企业具体的产品，使学生在实践中进一步消化专业技术知识，提高专业技能，同时，了解企业产品的其它生产技术和加工方式，了解企业的生产管理、企业制度和企业文化，使学生进行必要的职业体验和社会体验，从而逐渐认识企业、认识专业、了解职业，熟悉企业工作环境、管理体制和本专业工作岗位的基本情况，形成职业认同，培养更全面的专业技术和职业素质，为就业做好全面的准备。</w:t>
      </w:r>
    </w:p>
    <w:p>
      <w:pPr>
        <w:pStyle w:val="3"/>
        <w:pageBreakBefore w:val="0"/>
        <w:kinsoku/>
        <w:wordWrap/>
        <w:overflowPunct/>
        <w:topLinePunct w:val="0"/>
        <w:autoSpaceDE/>
        <w:autoSpaceDN/>
        <w:bidi w:val="0"/>
        <w:adjustRightInd/>
        <w:snapToGrid/>
        <w:spacing w:after="0" w:line="460" w:lineRule="exact"/>
        <w:ind w:firstLine="562" w:firstLineChars="200"/>
        <w:jc w:val="left"/>
        <w:outlineLvl w:val="0"/>
        <w:rPr>
          <w:rFonts w:ascii="黑体" w:hAnsi="黑体" w:eastAsia="黑体"/>
          <w:b/>
          <w:bCs w:val="0"/>
          <w:sz w:val="28"/>
          <w:szCs w:val="28"/>
        </w:rPr>
      </w:pPr>
      <w:bookmarkStart w:id="10" w:name="_Toc17292"/>
      <w:r>
        <w:rPr>
          <w:rFonts w:hint="eastAsia" w:ascii="黑体" w:hAnsi="黑体" w:eastAsia="黑体"/>
          <w:b/>
          <w:bCs w:val="0"/>
          <w:sz w:val="28"/>
          <w:szCs w:val="28"/>
        </w:rPr>
        <w:t>七、教学进程总体安排</w:t>
      </w:r>
      <w:bookmarkEnd w:id="10"/>
    </w:p>
    <w:p>
      <w:pPr>
        <w:pageBreakBefore w:val="0"/>
        <w:kinsoku/>
        <w:wordWrap/>
        <w:overflowPunct/>
        <w:topLinePunct w:val="0"/>
        <w:autoSpaceDE/>
        <w:autoSpaceDN/>
        <w:bidi w:val="0"/>
        <w:adjustRightInd/>
        <w:snapToGrid/>
        <w:spacing w:line="460" w:lineRule="exact"/>
        <w:ind w:firstLine="562" w:firstLineChars="200"/>
        <w:rPr>
          <w:rFonts w:ascii="宋体" w:hAnsi="宋体" w:cs="宋体"/>
          <w:b/>
          <w:sz w:val="28"/>
          <w:szCs w:val="28"/>
        </w:rPr>
      </w:pPr>
      <w:r>
        <w:rPr>
          <w:rFonts w:hint="eastAsia" w:ascii="宋体" w:hAnsi="宋体" w:cs="宋体"/>
          <w:b/>
          <w:sz w:val="28"/>
          <w:szCs w:val="28"/>
        </w:rPr>
        <w:t>（一）教学安排</w:t>
      </w:r>
    </w:p>
    <w:p>
      <w:pPr>
        <w:pageBreakBefore w:val="0"/>
        <w:kinsoku/>
        <w:wordWrap/>
        <w:overflowPunct/>
        <w:topLinePunct w:val="0"/>
        <w:autoSpaceDE/>
        <w:autoSpaceDN/>
        <w:bidi w:val="0"/>
        <w:adjustRightInd/>
        <w:snapToGrid/>
        <w:spacing w:line="240" w:lineRule="auto"/>
        <w:ind w:firstLine="560" w:firstLineChars="200"/>
        <w:jc w:val="left"/>
        <w:textAlignment w:val="baseline"/>
        <w:rPr>
          <w:rFonts w:hint="eastAsia" w:ascii="宋体" w:hAnsi="宋体" w:eastAsia="宋体" w:cs="宋体"/>
          <w:b/>
          <w:sz w:val="28"/>
          <w:szCs w:val="28"/>
        </w:rPr>
      </w:pPr>
      <w:r>
        <w:rPr>
          <w:rFonts w:hint="eastAsia" w:ascii="宋体" w:hAnsi="宋体" w:eastAsia="宋体" w:cs="宋体"/>
          <w:color w:val="000000"/>
          <w:sz w:val="28"/>
          <w:szCs w:val="28"/>
        </w:rPr>
        <w:t>本方案中每学年为52周，其中教学时间为第一、二学年教学活动</w:t>
      </w:r>
      <w:r>
        <w:rPr>
          <w:rFonts w:hint="eastAsia" w:ascii="宋体" w:hAnsi="宋体" w:eastAsia="宋体" w:cs="宋体"/>
          <w:color w:val="000000"/>
          <w:sz w:val="28"/>
          <w:szCs w:val="28"/>
          <w:lang w:val="en-US" w:eastAsia="zh-CN"/>
        </w:rPr>
        <w:t>36</w:t>
      </w:r>
      <w:r>
        <w:rPr>
          <w:rFonts w:hint="eastAsia" w:ascii="宋体" w:hAnsi="宋体" w:eastAsia="宋体" w:cs="宋体"/>
          <w:color w:val="000000"/>
          <w:sz w:val="28"/>
          <w:szCs w:val="28"/>
        </w:rPr>
        <w:t>周；第三学期上学期教学活动</w:t>
      </w:r>
      <w:r>
        <w:rPr>
          <w:rFonts w:hint="eastAsia" w:ascii="宋体" w:hAnsi="宋体" w:eastAsia="宋体" w:cs="宋体"/>
          <w:color w:val="000000"/>
          <w:sz w:val="28"/>
          <w:szCs w:val="28"/>
          <w:lang w:val="en-US" w:eastAsia="zh-CN"/>
        </w:rPr>
        <w:t>18</w:t>
      </w:r>
      <w:r>
        <w:rPr>
          <w:rFonts w:hint="eastAsia" w:ascii="宋体" w:hAnsi="宋体" w:eastAsia="宋体" w:cs="宋体"/>
          <w:color w:val="000000"/>
          <w:sz w:val="28"/>
          <w:szCs w:val="28"/>
        </w:rPr>
        <w:t>周，周学时为</w:t>
      </w:r>
      <w:r>
        <w:rPr>
          <w:rFonts w:hint="eastAsia" w:ascii="宋体" w:hAnsi="宋体" w:eastAsia="宋体" w:cs="宋体"/>
          <w:color w:val="000000"/>
          <w:sz w:val="28"/>
          <w:szCs w:val="28"/>
          <w:lang w:val="en-US" w:eastAsia="zh-CN"/>
        </w:rPr>
        <w:t>33</w:t>
      </w:r>
      <w:r>
        <w:rPr>
          <w:rFonts w:hint="eastAsia" w:ascii="宋体" w:hAnsi="宋体" w:eastAsia="宋体" w:cs="宋体"/>
          <w:color w:val="000000"/>
          <w:sz w:val="28"/>
          <w:szCs w:val="28"/>
        </w:rPr>
        <w:t>学时，下学期到企业顶岗实习</w:t>
      </w:r>
      <w:r>
        <w:rPr>
          <w:rFonts w:hint="eastAsia" w:ascii="宋体" w:hAnsi="宋体" w:eastAsia="宋体" w:cs="宋体"/>
          <w:color w:val="000000"/>
          <w:sz w:val="28"/>
          <w:szCs w:val="28"/>
          <w:lang w:val="en-US" w:eastAsia="zh-CN"/>
        </w:rPr>
        <w:t>18</w:t>
      </w:r>
      <w:r>
        <w:rPr>
          <w:rFonts w:hint="eastAsia" w:ascii="宋体" w:hAnsi="宋体" w:eastAsia="宋体" w:cs="宋体"/>
          <w:color w:val="000000"/>
          <w:sz w:val="28"/>
          <w:szCs w:val="28"/>
        </w:rPr>
        <w:t>周</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每</w:t>
      </w:r>
      <w:r>
        <w:rPr>
          <w:rFonts w:hint="eastAsia" w:ascii="宋体" w:hAnsi="宋体" w:eastAsia="宋体" w:cs="宋体"/>
          <w:color w:val="000000"/>
          <w:sz w:val="28"/>
          <w:szCs w:val="28"/>
        </w:rPr>
        <w:t>周约按3</w:t>
      </w:r>
      <w:r>
        <w:rPr>
          <w:rFonts w:hint="eastAsia" w:ascii="宋体" w:hAnsi="宋体" w:eastAsia="宋体" w:cs="宋体"/>
          <w:color w:val="000000"/>
          <w:sz w:val="28"/>
          <w:szCs w:val="28"/>
          <w:lang w:val="en-US" w:eastAsia="zh-CN"/>
        </w:rPr>
        <w:t>0</w:t>
      </w:r>
      <w:r>
        <w:rPr>
          <w:rFonts w:hint="eastAsia" w:ascii="宋体" w:hAnsi="宋体" w:eastAsia="宋体" w:cs="宋体"/>
          <w:color w:val="000000"/>
          <w:sz w:val="28"/>
          <w:szCs w:val="28"/>
        </w:rPr>
        <w:t>学时计算。</w:t>
      </w:r>
    </w:p>
    <w:p>
      <w:pPr>
        <w:rPr>
          <w:rFonts w:hint="eastAsia" w:ascii="宋体" w:hAnsi="宋体" w:cs="宋体"/>
          <w:b/>
          <w:color w:val="auto"/>
          <w:sz w:val="28"/>
          <w:szCs w:val="28"/>
        </w:rPr>
      </w:pPr>
      <w:r>
        <w:rPr>
          <w:rFonts w:hint="eastAsia" w:ascii="宋体" w:hAnsi="宋体" w:cs="宋体"/>
          <w:b/>
          <w:color w:val="auto"/>
          <w:sz w:val="28"/>
          <w:szCs w:val="28"/>
        </w:rPr>
        <w:br w:type="page"/>
      </w:r>
    </w:p>
    <w:p>
      <w:pPr>
        <w:pageBreakBefore w:val="0"/>
        <w:kinsoku/>
        <w:wordWrap/>
        <w:overflowPunct/>
        <w:topLinePunct w:val="0"/>
        <w:autoSpaceDE/>
        <w:autoSpaceDN/>
        <w:bidi w:val="0"/>
        <w:adjustRightInd/>
        <w:snapToGrid/>
        <w:spacing w:line="460" w:lineRule="exact"/>
        <w:ind w:firstLine="562" w:firstLineChars="200"/>
        <w:rPr>
          <w:rFonts w:ascii="宋体" w:hAnsi="宋体" w:cs="宋体"/>
          <w:b/>
          <w:color w:val="auto"/>
          <w:sz w:val="28"/>
          <w:szCs w:val="28"/>
        </w:rPr>
      </w:pPr>
      <w:r>
        <w:rPr>
          <w:rFonts w:hint="eastAsia" w:ascii="宋体" w:hAnsi="宋体" w:cs="宋体"/>
          <w:b/>
          <w:color w:val="auto"/>
          <w:sz w:val="28"/>
          <w:szCs w:val="28"/>
        </w:rPr>
        <w:t xml:space="preserve">（二）教学进程表 </w:t>
      </w:r>
    </w:p>
    <w:p>
      <w:pPr>
        <w:rPr>
          <w:rFonts w:hint="eastAsia" w:ascii="黑体" w:hAnsi="黑体" w:eastAsia="黑体"/>
          <w:b/>
          <w:sz w:val="28"/>
          <w:szCs w:val="28"/>
          <w:lang w:eastAsia="zh-CN"/>
        </w:rPr>
      </w:pPr>
      <w:r>
        <w:rPr>
          <w:rFonts w:hint="eastAsia" w:ascii="黑体" w:hAnsi="黑体" w:eastAsia="黑体"/>
          <w:b/>
          <w:sz w:val="28"/>
          <w:szCs w:val="28"/>
          <w:lang w:eastAsia="zh-CN"/>
        </w:rPr>
        <w:drawing>
          <wp:inline distT="0" distB="0" distL="114300" distR="114300">
            <wp:extent cx="5272405" cy="6477635"/>
            <wp:effectExtent l="0" t="0" r="4445" b="18415"/>
            <wp:docPr id="10" name="图片 10" descr="16530963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1653096325(1)"/>
                    <pic:cNvPicPr>
                      <a:picLocks noChangeAspect="1"/>
                    </pic:cNvPicPr>
                  </pic:nvPicPr>
                  <pic:blipFill>
                    <a:blip r:embed="rId13"/>
                    <a:stretch>
                      <a:fillRect/>
                    </a:stretch>
                  </pic:blipFill>
                  <pic:spPr>
                    <a:xfrm>
                      <a:off x="0" y="0"/>
                      <a:ext cx="5272405" cy="6477635"/>
                    </a:xfrm>
                    <a:prstGeom prst="rect">
                      <a:avLst/>
                    </a:prstGeom>
                  </pic:spPr>
                </pic:pic>
              </a:graphicData>
            </a:graphic>
          </wp:inline>
        </w:drawing>
      </w:r>
    </w:p>
    <w:p>
      <w:pPr>
        <w:pStyle w:val="3"/>
        <w:pageBreakBefore w:val="0"/>
        <w:kinsoku/>
        <w:wordWrap/>
        <w:overflowPunct/>
        <w:topLinePunct w:val="0"/>
        <w:autoSpaceDE/>
        <w:autoSpaceDN/>
        <w:bidi w:val="0"/>
        <w:adjustRightInd/>
        <w:snapToGrid/>
        <w:spacing w:after="0" w:line="500" w:lineRule="exact"/>
        <w:ind w:firstLine="562" w:firstLineChars="200"/>
        <w:jc w:val="left"/>
        <w:textAlignment w:val="auto"/>
        <w:outlineLvl w:val="0"/>
        <w:rPr>
          <w:rFonts w:ascii="黑体" w:hAnsi="黑体" w:eastAsia="黑体"/>
          <w:b/>
          <w:bCs w:val="0"/>
          <w:sz w:val="28"/>
          <w:szCs w:val="28"/>
        </w:rPr>
      </w:pPr>
      <w:bookmarkStart w:id="11" w:name="_Toc18083"/>
      <w:r>
        <w:rPr>
          <w:rFonts w:hint="eastAsia" w:ascii="黑体" w:hAnsi="黑体" w:eastAsia="黑体"/>
          <w:b/>
          <w:bCs w:val="0"/>
          <w:sz w:val="28"/>
          <w:szCs w:val="28"/>
        </w:rPr>
        <w:t>八、实施保障</w:t>
      </w:r>
      <w:bookmarkEnd w:id="11"/>
    </w:p>
    <w:p>
      <w:pPr>
        <w:pageBreakBefore w:val="0"/>
        <w:kinsoku/>
        <w:wordWrap/>
        <w:overflowPunct/>
        <w:topLinePunct w:val="0"/>
        <w:autoSpaceDE/>
        <w:autoSpaceDN/>
        <w:bidi w:val="0"/>
        <w:adjustRightInd/>
        <w:snapToGrid/>
        <w:spacing w:line="500" w:lineRule="exact"/>
        <w:ind w:firstLine="562" w:firstLineChars="200"/>
        <w:jc w:val="left"/>
        <w:textAlignment w:val="auto"/>
        <w:rPr>
          <w:rFonts w:ascii="宋体" w:hAnsi="宋体" w:cs="宋体"/>
          <w:b/>
          <w:sz w:val="28"/>
          <w:szCs w:val="28"/>
        </w:rPr>
      </w:pPr>
      <w:r>
        <w:rPr>
          <w:rFonts w:hint="eastAsia" w:ascii="宋体" w:hAnsi="宋体" w:cs="宋体"/>
          <w:b/>
          <w:sz w:val="28"/>
          <w:szCs w:val="28"/>
        </w:rPr>
        <w:t>（一）师资队伍</w:t>
      </w:r>
    </w:p>
    <w:p>
      <w:pPr>
        <w:pageBreakBefore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为保障本方案的顺利实施，根据教育部颁布的《中等职业学校教师专业标准》和《中等职业学校设置标准》的有关规定，本专业专任教师师生比不低于1:36，至少配备中级以上专业技术职务的专任教师2人，“双师型”教师应不低于30%；应有业务水平较高的专业带头人。</w:t>
      </w:r>
    </w:p>
    <w:p>
      <w:pPr>
        <w:pageBreakBefore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专业专任教师应具备良好的师德和终身学习能力，具有专业或相应专业本科及以上学历、中等职业学校教师资格证书和本专业相关工种中级（含</w:t>
      </w:r>
      <w:r>
        <w:rPr>
          <w:rFonts w:ascii="宋体" w:hAnsi="宋体"/>
          <w:sz w:val="28"/>
          <w:szCs w:val="28"/>
        </w:rPr>
        <w:t>）</w:t>
      </w:r>
      <w:r>
        <w:rPr>
          <w:rFonts w:hint="eastAsia" w:ascii="宋体" w:hAnsi="宋体"/>
          <w:sz w:val="28"/>
          <w:szCs w:val="28"/>
        </w:rPr>
        <w:t>以上职业资格，能够适应产业、行业发展需求，熟悉企业情况，参加企业实践和技术服务，积极开展课程教学改革。</w:t>
      </w:r>
    </w:p>
    <w:p>
      <w:pPr>
        <w:pageBreakBefore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聘请</w:t>
      </w:r>
      <w:r>
        <w:rPr>
          <w:rFonts w:hint="eastAsia" w:ascii="宋体" w:hAnsi="宋体"/>
          <w:sz w:val="28"/>
          <w:szCs w:val="28"/>
          <w:lang w:val="en-US" w:eastAsia="zh-CN"/>
        </w:rPr>
        <w:t>高级</w:t>
      </w:r>
      <w:r>
        <w:rPr>
          <w:rFonts w:hint="eastAsia" w:ascii="宋体" w:hAnsi="宋体"/>
          <w:sz w:val="28"/>
          <w:szCs w:val="28"/>
        </w:rPr>
        <w:t>技能人才担任专业兼职教师，应具有高级（含）以上职业资格或中级（含）以上专业技术职称，能够参与学校授课、课外活动、讲座等教学活动。</w:t>
      </w:r>
    </w:p>
    <w:p>
      <w:pPr>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目前，数控技术应用专业拥有专业教师</w:t>
      </w:r>
      <w:r>
        <w:rPr>
          <w:rFonts w:hint="eastAsia" w:ascii="宋体" w:hAnsi="宋体" w:eastAsia="宋体" w:cs="宋体"/>
          <w:sz w:val="28"/>
          <w:szCs w:val="28"/>
          <w:lang w:val="en-US" w:eastAsia="zh-CN"/>
        </w:rPr>
        <w:t>5</w:t>
      </w:r>
      <w:r>
        <w:rPr>
          <w:rFonts w:hint="eastAsia" w:ascii="宋体" w:hAnsi="宋体" w:eastAsia="宋体" w:cs="宋体"/>
          <w:sz w:val="28"/>
          <w:szCs w:val="28"/>
        </w:rPr>
        <w:t>人，研究生学历（或硕士以上学位）</w:t>
      </w:r>
      <w:r>
        <w:rPr>
          <w:rFonts w:hint="eastAsia" w:ascii="宋体" w:hAnsi="宋体" w:eastAsia="宋体" w:cs="宋体"/>
          <w:sz w:val="28"/>
          <w:szCs w:val="28"/>
          <w:lang w:val="en-US" w:eastAsia="zh-CN"/>
        </w:rPr>
        <w:t>2</w:t>
      </w:r>
      <w:r>
        <w:rPr>
          <w:rFonts w:hint="eastAsia" w:ascii="宋体" w:hAnsi="宋体" w:eastAsia="宋体" w:cs="宋体"/>
          <w:sz w:val="28"/>
          <w:szCs w:val="28"/>
        </w:rPr>
        <w:t>人，其他均为大学学历。其中“双师型”教师</w:t>
      </w:r>
      <w:r>
        <w:rPr>
          <w:rFonts w:hint="eastAsia" w:ascii="宋体" w:hAnsi="宋体" w:eastAsia="宋体" w:cs="宋体"/>
          <w:sz w:val="28"/>
          <w:szCs w:val="28"/>
          <w:lang w:val="en-US" w:eastAsia="zh-CN"/>
        </w:rPr>
        <w:t>2</w:t>
      </w:r>
      <w:r>
        <w:rPr>
          <w:rFonts w:hint="eastAsia" w:ascii="宋体" w:hAnsi="宋体" w:eastAsia="宋体" w:cs="宋体"/>
          <w:sz w:val="28"/>
          <w:szCs w:val="28"/>
        </w:rPr>
        <w:t>人，占全体专业教师的</w:t>
      </w:r>
      <w:r>
        <w:rPr>
          <w:rFonts w:hint="eastAsia" w:ascii="宋体" w:hAnsi="宋体" w:eastAsia="宋体" w:cs="宋体"/>
          <w:sz w:val="28"/>
          <w:szCs w:val="28"/>
          <w:lang w:val="en-US" w:eastAsia="zh-CN"/>
        </w:rPr>
        <w:t>40</w:t>
      </w:r>
      <w:r>
        <w:rPr>
          <w:rFonts w:hint="eastAsia" w:ascii="宋体" w:hAnsi="宋体" w:eastAsia="宋体" w:cs="宋体"/>
          <w:sz w:val="28"/>
          <w:szCs w:val="28"/>
        </w:rPr>
        <w:t>%；国家级骨干教师2人，省级骨干教师1人，中级以上职称</w:t>
      </w:r>
      <w:r>
        <w:rPr>
          <w:rFonts w:hint="eastAsia" w:ascii="宋体" w:hAnsi="宋体" w:cs="宋体"/>
          <w:sz w:val="28"/>
          <w:szCs w:val="28"/>
          <w:lang w:val="en-US" w:eastAsia="zh-CN"/>
        </w:rPr>
        <w:t>3</w:t>
      </w:r>
      <w:r>
        <w:rPr>
          <w:rFonts w:hint="eastAsia" w:ascii="宋体" w:hAnsi="宋体" w:eastAsia="宋体" w:cs="宋体"/>
          <w:sz w:val="28"/>
          <w:szCs w:val="28"/>
        </w:rPr>
        <w:t>人，另外聘请</w:t>
      </w:r>
      <w:r>
        <w:rPr>
          <w:rFonts w:hint="eastAsia" w:ascii="宋体" w:hAnsi="宋体" w:eastAsia="宋体" w:cs="宋体"/>
          <w:sz w:val="28"/>
          <w:szCs w:val="28"/>
          <w:lang w:val="en-US" w:eastAsia="zh-CN"/>
        </w:rPr>
        <w:t>高级技师</w:t>
      </w:r>
      <w:r>
        <w:rPr>
          <w:rFonts w:hint="eastAsia" w:ascii="宋体" w:hAnsi="宋体" w:eastAsia="宋体" w:cs="宋体"/>
          <w:sz w:val="28"/>
          <w:szCs w:val="28"/>
        </w:rPr>
        <w:t>1人</w:t>
      </w:r>
      <w:r>
        <w:rPr>
          <w:rFonts w:hint="eastAsia" w:ascii="宋体" w:hAnsi="宋体" w:cs="宋体"/>
          <w:sz w:val="28"/>
          <w:szCs w:val="28"/>
          <w:lang w:eastAsia="zh-CN"/>
        </w:rPr>
        <w:t>、</w:t>
      </w:r>
      <w:r>
        <w:rPr>
          <w:rFonts w:hint="eastAsia" w:ascii="宋体" w:hAnsi="宋体" w:eastAsia="宋体" w:cs="宋体"/>
          <w:sz w:val="28"/>
          <w:szCs w:val="28"/>
        </w:rPr>
        <w:t>中级机电工程师</w:t>
      </w:r>
      <w:r>
        <w:rPr>
          <w:rFonts w:hint="eastAsia" w:ascii="宋体" w:hAnsi="宋体" w:eastAsia="宋体" w:cs="宋体"/>
          <w:sz w:val="28"/>
          <w:szCs w:val="28"/>
          <w:lang w:val="en-US" w:eastAsia="zh-CN"/>
        </w:rPr>
        <w:t>1人</w:t>
      </w:r>
      <w:r>
        <w:rPr>
          <w:rFonts w:hint="eastAsia" w:ascii="宋体" w:hAnsi="宋体" w:eastAsia="宋体" w:cs="宋体"/>
          <w:sz w:val="28"/>
          <w:szCs w:val="28"/>
        </w:rPr>
        <w:t>作为本专业的兼职教师。专业生师比</w:t>
      </w:r>
      <w:r>
        <w:rPr>
          <w:rFonts w:hint="eastAsia" w:ascii="宋体" w:hAnsi="宋体" w:eastAsia="宋体" w:cs="宋体"/>
          <w:sz w:val="28"/>
          <w:szCs w:val="28"/>
          <w:lang w:val="en-US" w:eastAsia="zh-CN"/>
        </w:rPr>
        <w:t>18.8</w:t>
      </w:r>
      <w:r>
        <w:rPr>
          <w:rFonts w:hint="eastAsia" w:ascii="宋体" w:hAnsi="宋体" w:eastAsia="宋体" w:cs="宋体"/>
          <w:sz w:val="28"/>
          <w:szCs w:val="28"/>
        </w:rPr>
        <w:t>:1。</w:t>
      </w:r>
    </w:p>
    <w:p>
      <w:pPr>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ascii="宋体" w:hAnsi="宋体" w:cs="宋体"/>
          <w:bCs/>
          <w:color w:val="000000"/>
          <w:kern w:val="0"/>
          <w:sz w:val="28"/>
          <w:szCs w:val="28"/>
        </w:rPr>
      </w:pPr>
      <w:r>
        <w:rPr>
          <w:rFonts w:hint="eastAsia" w:ascii="宋体" w:hAnsi="宋体" w:cs="宋体"/>
          <w:bCs/>
          <w:color w:val="000000"/>
          <w:kern w:val="0"/>
          <w:sz w:val="28"/>
          <w:szCs w:val="28"/>
        </w:rPr>
        <w:t>1.专任教师一览表</w:t>
      </w:r>
    </w:p>
    <w:tbl>
      <w:tblPr>
        <w:tblStyle w:val="9"/>
        <w:tblW w:w="9192" w:type="dxa"/>
        <w:jc w:val="center"/>
        <w:tblLayout w:type="fixed"/>
        <w:tblCellMar>
          <w:top w:w="0" w:type="dxa"/>
          <w:left w:w="108" w:type="dxa"/>
          <w:bottom w:w="0" w:type="dxa"/>
          <w:right w:w="108" w:type="dxa"/>
        </w:tblCellMar>
      </w:tblPr>
      <w:tblGrid>
        <w:gridCol w:w="775"/>
        <w:gridCol w:w="1050"/>
        <w:gridCol w:w="750"/>
        <w:gridCol w:w="1284"/>
        <w:gridCol w:w="1974"/>
        <w:gridCol w:w="1592"/>
        <w:gridCol w:w="1767"/>
      </w:tblGrid>
      <w:tr>
        <w:tblPrEx>
          <w:tblCellMar>
            <w:top w:w="0" w:type="dxa"/>
            <w:left w:w="108" w:type="dxa"/>
            <w:bottom w:w="0" w:type="dxa"/>
            <w:right w:w="108" w:type="dxa"/>
          </w:tblCellMar>
        </w:tblPrEx>
        <w:trPr>
          <w:trHeight w:val="480" w:hRule="atLeast"/>
          <w:jc w:val="center"/>
        </w:trPr>
        <w:tc>
          <w:tcPr>
            <w:tcW w:w="7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序号</w:t>
            </w:r>
          </w:p>
        </w:tc>
        <w:tc>
          <w:tcPr>
            <w:tcW w:w="105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姓名</w:t>
            </w:r>
          </w:p>
        </w:tc>
        <w:tc>
          <w:tcPr>
            <w:tcW w:w="75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性别</w:t>
            </w:r>
          </w:p>
        </w:tc>
        <w:tc>
          <w:tcPr>
            <w:tcW w:w="1284"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出生年月</w:t>
            </w:r>
          </w:p>
        </w:tc>
        <w:tc>
          <w:tcPr>
            <w:tcW w:w="1974"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学历、学位</w:t>
            </w:r>
          </w:p>
        </w:tc>
        <w:tc>
          <w:tcPr>
            <w:tcW w:w="1592"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专业技术职务证书</w:t>
            </w:r>
          </w:p>
        </w:tc>
        <w:tc>
          <w:tcPr>
            <w:tcW w:w="1767"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技能证书</w:t>
            </w:r>
          </w:p>
        </w:tc>
      </w:tr>
      <w:tr>
        <w:tblPrEx>
          <w:tblCellMar>
            <w:top w:w="0" w:type="dxa"/>
            <w:left w:w="108" w:type="dxa"/>
            <w:bottom w:w="0" w:type="dxa"/>
            <w:right w:w="108" w:type="dxa"/>
          </w:tblCellMar>
        </w:tblPrEx>
        <w:trPr>
          <w:trHeight w:val="750" w:hRule="atLeast"/>
          <w:jc w:val="center"/>
        </w:trPr>
        <w:tc>
          <w:tcPr>
            <w:tcW w:w="775"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1"/>
                <w:szCs w:val="21"/>
              </w:rPr>
            </w:pPr>
            <w:r>
              <w:rPr>
                <w:rFonts w:hint="eastAsia" w:ascii="宋体" w:hAnsi="宋体" w:cs="宋体"/>
                <w:kern w:val="0"/>
                <w:sz w:val="21"/>
                <w:szCs w:val="21"/>
              </w:rPr>
              <w:t>1</w:t>
            </w:r>
          </w:p>
        </w:tc>
        <w:tc>
          <w:tcPr>
            <w:tcW w:w="10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1"/>
                <w:szCs w:val="21"/>
              </w:rPr>
            </w:pPr>
            <w:r>
              <w:rPr>
                <w:rFonts w:hint="eastAsia" w:ascii="宋体" w:hAnsi="宋体" w:cs="宋体"/>
                <w:kern w:val="0"/>
                <w:sz w:val="21"/>
                <w:szCs w:val="21"/>
              </w:rPr>
              <w:t>谢玉阳</w:t>
            </w:r>
          </w:p>
        </w:tc>
        <w:tc>
          <w:tcPr>
            <w:tcW w:w="7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1"/>
                <w:szCs w:val="21"/>
              </w:rPr>
            </w:pPr>
            <w:r>
              <w:rPr>
                <w:rFonts w:hint="eastAsia" w:ascii="宋体" w:hAnsi="宋体" w:cs="宋体"/>
                <w:kern w:val="0"/>
                <w:sz w:val="21"/>
                <w:szCs w:val="21"/>
              </w:rPr>
              <w:t>男</w:t>
            </w:r>
          </w:p>
        </w:tc>
        <w:tc>
          <w:tcPr>
            <w:tcW w:w="1284"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1"/>
                <w:szCs w:val="21"/>
              </w:rPr>
            </w:pPr>
            <w:r>
              <w:rPr>
                <w:rFonts w:hint="eastAsia" w:ascii="宋体" w:hAnsi="宋体" w:cs="宋体"/>
                <w:kern w:val="0"/>
                <w:sz w:val="21"/>
                <w:szCs w:val="21"/>
              </w:rPr>
              <w:t>196910</w:t>
            </w:r>
          </w:p>
        </w:tc>
        <w:tc>
          <w:tcPr>
            <w:tcW w:w="1974"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1"/>
                <w:szCs w:val="21"/>
              </w:rPr>
            </w:pPr>
            <w:r>
              <w:rPr>
                <w:rFonts w:hint="eastAsia" w:ascii="宋体" w:hAnsi="宋体" w:cs="宋体"/>
                <w:kern w:val="0"/>
                <w:sz w:val="21"/>
                <w:szCs w:val="21"/>
              </w:rPr>
              <w:t>在职本科</w:t>
            </w:r>
          </w:p>
        </w:tc>
        <w:tc>
          <w:tcPr>
            <w:tcW w:w="159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高级讲师</w:t>
            </w:r>
          </w:p>
        </w:tc>
        <w:tc>
          <w:tcPr>
            <w:tcW w:w="1767"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1"/>
                <w:szCs w:val="21"/>
              </w:rPr>
            </w:pPr>
            <w:r>
              <w:rPr>
                <w:rFonts w:hint="eastAsia" w:ascii="宋体" w:hAnsi="宋体" w:cs="宋体"/>
                <w:kern w:val="0"/>
                <w:sz w:val="21"/>
                <w:szCs w:val="21"/>
              </w:rPr>
              <w:t>1.数控车工</w:t>
            </w:r>
          </w:p>
          <w:p>
            <w:pPr>
              <w:widowControl/>
              <w:jc w:val="left"/>
              <w:rPr>
                <w:rFonts w:ascii="宋体" w:hAnsi="宋体" w:cs="宋体"/>
                <w:kern w:val="0"/>
                <w:sz w:val="21"/>
                <w:szCs w:val="21"/>
              </w:rPr>
            </w:pPr>
            <w:r>
              <w:rPr>
                <w:rFonts w:hint="eastAsia" w:ascii="宋体" w:hAnsi="宋体" w:cs="宋体"/>
                <w:kern w:val="0"/>
                <w:sz w:val="21"/>
                <w:szCs w:val="21"/>
              </w:rPr>
              <w:t>2.数控车工技能鉴定考评员</w:t>
            </w:r>
          </w:p>
        </w:tc>
      </w:tr>
      <w:tr>
        <w:tblPrEx>
          <w:tblCellMar>
            <w:top w:w="0" w:type="dxa"/>
            <w:left w:w="108" w:type="dxa"/>
            <w:bottom w:w="0" w:type="dxa"/>
            <w:right w:w="108" w:type="dxa"/>
          </w:tblCellMar>
        </w:tblPrEx>
        <w:trPr>
          <w:trHeight w:val="480" w:hRule="atLeast"/>
          <w:jc w:val="center"/>
        </w:trPr>
        <w:tc>
          <w:tcPr>
            <w:tcW w:w="775"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1"/>
                <w:szCs w:val="21"/>
              </w:rPr>
            </w:pPr>
            <w:r>
              <w:rPr>
                <w:rFonts w:hint="eastAsia" w:ascii="宋体" w:hAnsi="宋体" w:cs="宋体"/>
                <w:kern w:val="0"/>
                <w:sz w:val="21"/>
                <w:szCs w:val="21"/>
              </w:rPr>
              <w:t>2</w:t>
            </w:r>
          </w:p>
        </w:tc>
        <w:tc>
          <w:tcPr>
            <w:tcW w:w="10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1"/>
                <w:szCs w:val="21"/>
              </w:rPr>
            </w:pPr>
            <w:r>
              <w:rPr>
                <w:rFonts w:hint="eastAsia" w:ascii="宋体" w:hAnsi="宋体" w:cs="宋体"/>
                <w:kern w:val="0"/>
                <w:sz w:val="21"/>
                <w:szCs w:val="21"/>
              </w:rPr>
              <w:t>黄雪霞</w:t>
            </w:r>
          </w:p>
        </w:tc>
        <w:tc>
          <w:tcPr>
            <w:tcW w:w="75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1"/>
                <w:szCs w:val="21"/>
              </w:rPr>
            </w:pPr>
            <w:r>
              <w:rPr>
                <w:rFonts w:hint="eastAsia" w:ascii="宋体" w:hAnsi="宋体" w:cs="宋体"/>
                <w:kern w:val="0"/>
                <w:sz w:val="21"/>
                <w:szCs w:val="21"/>
              </w:rPr>
              <w:t>女</w:t>
            </w:r>
          </w:p>
        </w:tc>
        <w:tc>
          <w:tcPr>
            <w:tcW w:w="1284"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1"/>
                <w:szCs w:val="21"/>
              </w:rPr>
            </w:pPr>
            <w:r>
              <w:rPr>
                <w:rFonts w:hint="eastAsia" w:ascii="宋体" w:hAnsi="宋体" w:cs="宋体"/>
                <w:kern w:val="0"/>
                <w:sz w:val="21"/>
                <w:szCs w:val="21"/>
              </w:rPr>
              <w:t>198611</w:t>
            </w:r>
          </w:p>
        </w:tc>
        <w:tc>
          <w:tcPr>
            <w:tcW w:w="1974"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1"/>
                <w:szCs w:val="21"/>
              </w:rPr>
            </w:pPr>
            <w:r>
              <w:rPr>
                <w:rFonts w:hint="eastAsia" w:ascii="宋体" w:hAnsi="宋体" w:cs="宋体"/>
                <w:kern w:val="0"/>
                <w:sz w:val="21"/>
                <w:szCs w:val="21"/>
              </w:rPr>
              <w:t>本科、学士学位</w:t>
            </w:r>
          </w:p>
        </w:tc>
        <w:tc>
          <w:tcPr>
            <w:tcW w:w="159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讲师</w:t>
            </w:r>
          </w:p>
        </w:tc>
        <w:tc>
          <w:tcPr>
            <w:tcW w:w="176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480" w:hRule="atLeast"/>
          <w:jc w:val="center"/>
        </w:trPr>
        <w:tc>
          <w:tcPr>
            <w:tcW w:w="775"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cs="宋体"/>
                <w:kern w:val="0"/>
                <w:sz w:val="21"/>
                <w:szCs w:val="21"/>
              </w:rPr>
              <w:t>3</w:t>
            </w:r>
          </w:p>
        </w:tc>
        <w:tc>
          <w:tcPr>
            <w:tcW w:w="10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cs="宋体"/>
                <w:kern w:val="0"/>
                <w:sz w:val="21"/>
                <w:szCs w:val="21"/>
              </w:rPr>
              <w:t>苏丽英</w:t>
            </w:r>
          </w:p>
        </w:tc>
        <w:tc>
          <w:tcPr>
            <w:tcW w:w="7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cs="宋体"/>
                <w:kern w:val="0"/>
                <w:sz w:val="21"/>
                <w:szCs w:val="21"/>
              </w:rPr>
              <w:t>女</w:t>
            </w:r>
          </w:p>
        </w:tc>
        <w:tc>
          <w:tcPr>
            <w:tcW w:w="1284"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cs="宋体"/>
                <w:kern w:val="0"/>
                <w:sz w:val="21"/>
                <w:szCs w:val="21"/>
              </w:rPr>
              <w:t>198610</w:t>
            </w:r>
          </w:p>
        </w:tc>
        <w:tc>
          <w:tcPr>
            <w:tcW w:w="1974"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cs="宋体"/>
                <w:kern w:val="0"/>
                <w:sz w:val="21"/>
                <w:szCs w:val="21"/>
              </w:rPr>
              <w:t>研究生、硕士学位</w:t>
            </w:r>
          </w:p>
        </w:tc>
        <w:tc>
          <w:tcPr>
            <w:tcW w:w="15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cs="宋体"/>
                <w:kern w:val="0"/>
                <w:sz w:val="21"/>
                <w:szCs w:val="21"/>
              </w:rPr>
              <w:t>讲师</w:t>
            </w:r>
          </w:p>
        </w:tc>
        <w:tc>
          <w:tcPr>
            <w:tcW w:w="176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cs="宋体"/>
                <w:kern w:val="0"/>
                <w:sz w:val="21"/>
                <w:szCs w:val="21"/>
              </w:rPr>
              <w:t>　</w:t>
            </w:r>
          </w:p>
        </w:tc>
      </w:tr>
    </w:tbl>
    <w:p>
      <w:pPr>
        <w:widowControl/>
        <w:spacing w:line="500" w:lineRule="exact"/>
        <w:ind w:firstLine="560" w:firstLineChars="200"/>
        <w:jc w:val="left"/>
        <w:rPr>
          <w:rFonts w:ascii="宋体" w:hAnsi="宋体" w:cs="宋体"/>
          <w:bCs/>
          <w:color w:val="000000"/>
          <w:kern w:val="0"/>
          <w:sz w:val="28"/>
          <w:szCs w:val="28"/>
        </w:rPr>
      </w:pPr>
      <w:r>
        <w:rPr>
          <w:rFonts w:hint="eastAsia" w:ascii="宋体" w:hAnsi="宋体" w:cs="宋体"/>
          <w:bCs/>
          <w:color w:val="000000"/>
          <w:kern w:val="0"/>
          <w:sz w:val="28"/>
          <w:szCs w:val="28"/>
        </w:rPr>
        <w:t>2.兼职教师一览表</w:t>
      </w:r>
    </w:p>
    <w:tbl>
      <w:tblPr>
        <w:tblStyle w:val="9"/>
        <w:tblW w:w="9259" w:type="dxa"/>
        <w:jc w:val="center"/>
        <w:tblLayout w:type="fixed"/>
        <w:tblCellMar>
          <w:top w:w="0" w:type="dxa"/>
          <w:left w:w="108" w:type="dxa"/>
          <w:bottom w:w="0" w:type="dxa"/>
          <w:right w:w="108" w:type="dxa"/>
        </w:tblCellMar>
      </w:tblPr>
      <w:tblGrid>
        <w:gridCol w:w="833"/>
        <w:gridCol w:w="1033"/>
        <w:gridCol w:w="733"/>
        <w:gridCol w:w="1284"/>
        <w:gridCol w:w="2150"/>
        <w:gridCol w:w="1433"/>
        <w:gridCol w:w="1793"/>
      </w:tblGrid>
      <w:tr>
        <w:tblPrEx>
          <w:tblCellMar>
            <w:top w:w="0" w:type="dxa"/>
            <w:left w:w="108" w:type="dxa"/>
            <w:bottom w:w="0" w:type="dxa"/>
            <w:right w:w="108" w:type="dxa"/>
          </w:tblCellMar>
        </w:tblPrEx>
        <w:trPr>
          <w:trHeight w:val="480" w:hRule="atLeast"/>
          <w:jc w:val="center"/>
        </w:trPr>
        <w:tc>
          <w:tcPr>
            <w:tcW w:w="8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序号</w:t>
            </w:r>
          </w:p>
        </w:tc>
        <w:tc>
          <w:tcPr>
            <w:tcW w:w="1033"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姓名</w:t>
            </w:r>
          </w:p>
        </w:tc>
        <w:tc>
          <w:tcPr>
            <w:tcW w:w="733"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性别</w:t>
            </w:r>
          </w:p>
        </w:tc>
        <w:tc>
          <w:tcPr>
            <w:tcW w:w="1284"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出生年月</w:t>
            </w:r>
          </w:p>
        </w:tc>
        <w:tc>
          <w:tcPr>
            <w:tcW w:w="215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学历、学位</w:t>
            </w:r>
          </w:p>
        </w:tc>
        <w:tc>
          <w:tcPr>
            <w:tcW w:w="1433"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专业技术职务证书</w:t>
            </w:r>
          </w:p>
        </w:tc>
        <w:tc>
          <w:tcPr>
            <w:tcW w:w="179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技能证书</w:t>
            </w:r>
          </w:p>
        </w:tc>
      </w:tr>
      <w:tr>
        <w:tblPrEx>
          <w:tblCellMar>
            <w:top w:w="0" w:type="dxa"/>
            <w:left w:w="108" w:type="dxa"/>
            <w:bottom w:w="0" w:type="dxa"/>
            <w:right w:w="108" w:type="dxa"/>
          </w:tblCellMar>
        </w:tblPrEx>
        <w:trPr>
          <w:trHeight w:val="750" w:hRule="atLeast"/>
          <w:jc w:val="center"/>
        </w:trPr>
        <w:tc>
          <w:tcPr>
            <w:tcW w:w="833" w:type="dxa"/>
            <w:tcBorders>
              <w:top w:val="nil"/>
              <w:left w:val="single" w:color="auto" w:sz="4" w:space="0"/>
              <w:bottom w:val="nil"/>
              <w:right w:val="single" w:color="auto" w:sz="4" w:space="0"/>
            </w:tcBorders>
            <w:noWrap/>
            <w:vAlign w:val="center"/>
          </w:tcPr>
          <w:p>
            <w:pPr>
              <w:widowControl/>
              <w:jc w:val="center"/>
              <w:rPr>
                <w:rFonts w:ascii="宋体" w:hAnsi="宋体" w:cs="宋体"/>
                <w:kern w:val="0"/>
                <w:sz w:val="21"/>
                <w:szCs w:val="21"/>
              </w:rPr>
            </w:pPr>
            <w:r>
              <w:rPr>
                <w:rFonts w:hint="eastAsia" w:ascii="宋体" w:hAnsi="宋体" w:cs="宋体"/>
                <w:kern w:val="0"/>
                <w:sz w:val="21"/>
                <w:szCs w:val="21"/>
              </w:rPr>
              <w:t>1</w:t>
            </w:r>
          </w:p>
        </w:tc>
        <w:tc>
          <w:tcPr>
            <w:tcW w:w="1033" w:type="dxa"/>
            <w:tcBorders>
              <w:top w:val="nil"/>
              <w:left w:val="nil"/>
              <w:bottom w:val="nil"/>
              <w:right w:val="single" w:color="auto" w:sz="4" w:space="0"/>
            </w:tcBorders>
            <w:noWrap/>
            <w:vAlign w:val="center"/>
          </w:tcPr>
          <w:p>
            <w:pPr>
              <w:widowControl/>
              <w:jc w:val="center"/>
              <w:rPr>
                <w:rFonts w:ascii="宋体" w:hAnsi="宋体" w:cs="宋体"/>
                <w:kern w:val="0"/>
                <w:sz w:val="21"/>
                <w:szCs w:val="21"/>
              </w:rPr>
            </w:pPr>
            <w:r>
              <w:rPr>
                <w:rFonts w:hint="eastAsia" w:ascii="宋体" w:hAnsi="宋体" w:cs="宋体"/>
                <w:kern w:val="0"/>
                <w:sz w:val="21"/>
                <w:szCs w:val="21"/>
              </w:rPr>
              <w:t>陈威</w:t>
            </w:r>
          </w:p>
        </w:tc>
        <w:tc>
          <w:tcPr>
            <w:tcW w:w="733" w:type="dxa"/>
            <w:tcBorders>
              <w:top w:val="nil"/>
              <w:left w:val="nil"/>
              <w:bottom w:val="nil"/>
              <w:right w:val="single" w:color="auto" w:sz="4" w:space="0"/>
            </w:tcBorders>
            <w:noWrap/>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男</w:t>
            </w:r>
          </w:p>
        </w:tc>
        <w:tc>
          <w:tcPr>
            <w:tcW w:w="1284" w:type="dxa"/>
            <w:tcBorders>
              <w:top w:val="nil"/>
              <w:left w:val="nil"/>
              <w:bottom w:val="nil"/>
              <w:right w:val="single" w:color="auto" w:sz="4" w:space="0"/>
            </w:tcBorders>
            <w:noWrap/>
            <w:vAlign w:val="center"/>
          </w:tcPr>
          <w:p>
            <w:pPr>
              <w:widowControl/>
              <w:jc w:val="center"/>
              <w:rPr>
                <w:rFonts w:ascii="宋体" w:hAnsi="宋体" w:cs="宋体"/>
                <w:kern w:val="0"/>
                <w:sz w:val="21"/>
                <w:szCs w:val="21"/>
              </w:rPr>
            </w:pPr>
            <w:r>
              <w:rPr>
                <w:rFonts w:hint="eastAsia" w:ascii="宋体" w:hAnsi="宋体" w:cs="宋体"/>
                <w:kern w:val="0"/>
                <w:sz w:val="21"/>
                <w:szCs w:val="21"/>
              </w:rPr>
              <w:t>197904</w:t>
            </w:r>
          </w:p>
        </w:tc>
        <w:tc>
          <w:tcPr>
            <w:tcW w:w="2150" w:type="dxa"/>
            <w:tcBorders>
              <w:top w:val="nil"/>
              <w:left w:val="nil"/>
              <w:bottom w:val="nil"/>
              <w:right w:val="single" w:color="auto" w:sz="4" w:space="0"/>
            </w:tcBorders>
            <w:noWrap/>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rPr>
              <w:t>本科、学士学位</w:t>
            </w:r>
          </w:p>
        </w:tc>
        <w:tc>
          <w:tcPr>
            <w:tcW w:w="1433" w:type="dxa"/>
            <w:tcBorders>
              <w:top w:val="nil"/>
              <w:left w:val="nil"/>
              <w:bottom w:val="nil"/>
              <w:right w:val="single" w:color="auto" w:sz="4" w:space="0"/>
            </w:tcBorders>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实验师</w:t>
            </w:r>
          </w:p>
        </w:tc>
        <w:tc>
          <w:tcPr>
            <w:tcW w:w="1793" w:type="dxa"/>
            <w:tcBorders>
              <w:top w:val="nil"/>
              <w:left w:val="nil"/>
              <w:bottom w:val="nil"/>
              <w:right w:val="single" w:color="auto" w:sz="4" w:space="0"/>
            </w:tcBorders>
            <w:noWrap w:val="0"/>
            <w:vAlign w:val="center"/>
          </w:tcPr>
          <w:p>
            <w:pPr>
              <w:widowControl/>
              <w:jc w:val="center"/>
              <w:rPr>
                <w:rFonts w:hint="default" w:ascii="宋体" w:hAnsi="宋体" w:eastAsia="宋体" w:cs="宋体"/>
                <w:kern w:val="0"/>
                <w:sz w:val="21"/>
                <w:szCs w:val="21"/>
                <w:lang w:val="en-US" w:eastAsia="zh-CN"/>
              </w:rPr>
            </w:pPr>
            <w:r>
              <w:rPr>
                <w:rFonts w:hint="eastAsia" w:ascii="宋体" w:hAnsi="宋体" w:cs="宋体"/>
                <w:kern w:val="0"/>
                <w:sz w:val="21"/>
                <w:szCs w:val="21"/>
                <w:lang w:val="en-US" w:eastAsia="zh-CN"/>
              </w:rPr>
              <w:t>高级技师</w:t>
            </w:r>
          </w:p>
        </w:tc>
      </w:tr>
      <w:tr>
        <w:tblPrEx>
          <w:tblCellMar>
            <w:top w:w="0" w:type="dxa"/>
            <w:left w:w="108" w:type="dxa"/>
            <w:bottom w:w="0" w:type="dxa"/>
            <w:right w:w="108" w:type="dxa"/>
          </w:tblCellMar>
        </w:tblPrEx>
        <w:trPr>
          <w:trHeight w:val="750" w:hRule="atLeast"/>
          <w:jc w:val="center"/>
        </w:trPr>
        <w:tc>
          <w:tcPr>
            <w:tcW w:w="833"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2</w:t>
            </w:r>
          </w:p>
        </w:tc>
        <w:tc>
          <w:tcPr>
            <w:tcW w:w="1033"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cs="宋体"/>
                <w:kern w:val="0"/>
                <w:sz w:val="21"/>
                <w:szCs w:val="21"/>
                <w:lang w:val="en-US" w:eastAsia="zh-CN"/>
              </w:rPr>
              <w:t>姚华忠</w:t>
            </w:r>
          </w:p>
        </w:tc>
        <w:tc>
          <w:tcPr>
            <w:tcW w:w="733"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cs="宋体"/>
                <w:kern w:val="0"/>
                <w:sz w:val="21"/>
                <w:szCs w:val="21"/>
                <w:lang w:val="en-US" w:eastAsia="zh-CN"/>
              </w:rPr>
              <w:t>男</w:t>
            </w:r>
          </w:p>
        </w:tc>
        <w:tc>
          <w:tcPr>
            <w:tcW w:w="1284"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cs="宋体"/>
                <w:kern w:val="0"/>
                <w:sz w:val="21"/>
                <w:szCs w:val="21"/>
              </w:rPr>
              <w:t>199006</w:t>
            </w:r>
          </w:p>
        </w:tc>
        <w:tc>
          <w:tcPr>
            <w:tcW w:w="21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cs="宋体"/>
                <w:kern w:val="0"/>
                <w:sz w:val="21"/>
                <w:szCs w:val="21"/>
              </w:rPr>
              <w:t>研究生、硕士学位</w:t>
            </w:r>
          </w:p>
        </w:tc>
        <w:tc>
          <w:tcPr>
            <w:tcW w:w="143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cs="宋体"/>
                <w:kern w:val="0"/>
                <w:sz w:val="21"/>
                <w:szCs w:val="21"/>
              </w:rPr>
              <w:t>中级机电工程师</w:t>
            </w:r>
          </w:p>
        </w:tc>
        <w:tc>
          <w:tcPr>
            <w:tcW w:w="179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lang w:val="en-US" w:eastAsia="zh-CN" w:bidi="ar-SA"/>
              </w:rPr>
            </w:pPr>
          </w:p>
        </w:tc>
      </w:tr>
    </w:tbl>
    <w:p>
      <w:pPr>
        <w:jc w:val="left"/>
        <w:rPr>
          <w:rFonts w:ascii="黑体" w:hAnsi="黑体" w:eastAsia="黑体"/>
          <w:b/>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left"/>
        <w:textAlignment w:val="auto"/>
        <w:rPr>
          <w:rFonts w:ascii="宋体" w:hAnsi="宋体" w:cs="宋体"/>
          <w:b/>
          <w:sz w:val="28"/>
          <w:szCs w:val="28"/>
        </w:rPr>
      </w:pPr>
      <w:r>
        <w:rPr>
          <w:rFonts w:hint="eastAsia" w:ascii="宋体" w:hAnsi="宋体" w:cs="宋体"/>
          <w:b/>
          <w:sz w:val="28"/>
          <w:szCs w:val="28"/>
        </w:rPr>
        <w:t>（二）教学设施</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sz w:val="28"/>
          <w:szCs w:val="28"/>
        </w:rPr>
      </w:pPr>
      <w:r>
        <w:rPr>
          <w:rFonts w:hint="eastAsia" w:ascii="宋体" w:hAnsi="宋体"/>
          <w:sz w:val="28"/>
          <w:szCs w:val="28"/>
        </w:rPr>
        <w:t>本专业配备有校内实训室和校外实习实训基地。</w:t>
      </w:r>
    </w:p>
    <w:p>
      <w:pPr>
        <w:keepNext w:val="0"/>
        <w:keepLines w:val="0"/>
        <w:pageBreakBefore w:val="0"/>
        <w:widowControl w:val="0"/>
        <w:numPr>
          <w:ilvl w:val="0"/>
          <w:numId w:val="5"/>
        </w:numPr>
        <w:kinsoku/>
        <w:wordWrap/>
        <w:overflowPunct/>
        <w:topLinePunct w:val="0"/>
        <w:autoSpaceDE/>
        <w:autoSpaceDN/>
        <w:bidi w:val="0"/>
        <w:adjustRightInd/>
        <w:snapToGrid/>
        <w:spacing w:line="500" w:lineRule="exact"/>
        <w:ind w:firstLine="560" w:firstLineChars="200"/>
        <w:textAlignment w:val="auto"/>
        <w:rPr>
          <w:rFonts w:hint="eastAsia" w:ascii="宋体" w:hAnsi="宋体" w:cs="宋体"/>
          <w:sz w:val="28"/>
          <w:szCs w:val="28"/>
        </w:rPr>
      </w:pPr>
      <w:r>
        <w:rPr>
          <w:rFonts w:hint="eastAsia" w:ascii="宋体" w:hAnsi="宋体" w:cs="宋体"/>
          <w:sz w:val="28"/>
          <w:szCs w:val="28"/>
        </w:rPr>
        <w:t>校内实训室</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color w:val="000000"/>
          <w:sz w:val="28"/>
          <w:szCs w:val="28"/>
        </w:rPr>
      </w:pPr>
      <w:r>
        <w:drawing>
          <wp:inline distT="0" distB="0" distL="114300" distR="114300">
            <wp:extent cx="5271135" cy="4794885"/>
            <wp:effectExtent l="0" t="0" r="190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4"/>
                    <a:stretch>
                      <a:fillRect/>
                    </a:stretch>
                  </pic:blipFill>
                  <pic:spPr>
                    <a:xfrm>
                      <a:off x="0" y="0"/>
                      <a:ext cx="5271135" cy="4794885"/>
                    </a:xfrm>
                    <a:prstGeom prst="rect">
                      <a:avLst/>
                    </a:prstGeom>
                    <a:noFill/>
                    <a:ln>
                      <a:noFill/>
                    </a:ln>
                  </pic:spPr>
                </pic:pic>
              </a:graphicData>
            </a:graphic>
          </wp:inline>
        </w:drawing>
      </w:r>
    </w:p>
    <w:p>
      <w:pPr>
        <w:widowControl/>
        <w:spacing w:line="500" w:lineRule="exact"/>
        <w:ind w:firstLine="560" w:firstLineChars="200"/>
        <w:jc w:val="left"/>
        <w:rPr>
          <w:rFonts w:ascii="宋体" w:hAnsi="宋体"/>
          <w:color w:val="000000"/>
          <w:sz w:val="28"/>
          <w:szCs w:val="28"/>
        </w:rPr>
      </w:pPr>
      <w:r>
        <w:rPr>
          <w:rFonts w:hint="eastAsia" w:ascii="宋体" w:hAnsi="宋体"/>
          <w:color w:val="000000"/>
          <w:sz w:val="28"/>
          <w:szCs w:val="28"/>
        </w:rPr>
        <w:t>主要设施设备及数量见下表：</w:t>
      </w:r>
    </w:p>
    <w:tbl>
      <w:tblPr>
        <w:tblStyle w:val="9"/>
        <w:tblpPr w:leftFromText="180" w:rightFromText="180" w:vertAnchor="text" w:horzAnchor="page" w:tblpXSpec="center" w:tblpY="469"/>
        <w:tblOverlap w:val="never"/>
        <w:tblW w:w="8912" w:type="dxa"/>
        <w:tblInd w:w="-242" w:type="dxa"/>
        <w:tblLayout w:type="fixed"/>
        <w:tblCellMar>
          <w:top w:w="0" w:type="dxa"/>
          <w:left w:w="108" w:type="dxa"/>
          <w:bottom w:w="0" w:type="dxa"/>
          <w:right w:w="108" w:type="dxa"/>
        </w:tblCellMar>
      </w:tblPr>
      <w:tblGrid>
        <w:gridCol w:w="917"/>
        <w:gridCol w:w="1134"/>
        <w:gridCol w:w="709"/>
        <w:gridCol w:w="1410"/>
        <w:gridCol w:w="2559"/>
        <w:gridCol w:w="709"/>
        <w:gridCol w:w="709"/>
        <w:gridCol w:w="765"/>
      </w:tblGrid>
      <w:tr>
        <w:tblPrEx>
          <w:tblCellMar>
            <w:top w:w="0" w:type="dxa"/>
            <w:left w:w="108" w:type="dxa"/>
            <w:bottom w:w="0" w:type="dxa"/>
            <w:right w:w="108" w:type="dxa"/>
          </w:tblCellMar>
        </w:tblPrEx>
        <w:trPr>
          <w:trHeight w:val="624" w:hRule="atLeast"/>
        </w:trPr>
        <w:tc>
          <w:tcPr>
            <w:tcW w:w="2051" w:type="dxa"/>
            <w:gridSpan w:val="2"/>
            <w:tcBorders>
              <w:top w:val="single" w:color="auto" w:sz="4" w:space="0"/>
              <w:left w:val="single" w:color="auto" w:sz="4" w:space="0"/>
              <w:bottom w:val="single" w:color="000000" w:sz="4" w:space="0"/>
              <w:right w:val="single" w:color="000000" w:sz="4" w:space="0"/>
            </w:tcBorders>
            <w:noWrap w:val="0"/>
            <w:vAlign w:val="center"/>
          </w:tcPr>
          <w:p>
            <w:pPr>
              <w:widowControl/>
              <w:jc w:val="center"/>
              <w:rPr>
                <w:rFonts w:ascii="宋体" w:hAnsi="宋体" w:cs="宋体"/>
                <w:b/>
                <w:bCs/>
                <w:color w:val="171717"/>
                <w:kern w:val="0"/>
                <w:szCs w:val="21"/>
              </w:rPr>
            </w:pPr>
            <w:r>
              <w:rPr>
                <w:rFonts w:hint="eastAsia" w:ascii="宋体" w:hAnsi="宋体" w:cs="宋体"/>
                <w:b/>
                <w:bCs/>
                <w:color w:val="171717"/>
                <w:kern w:val="0"/>
                <w:szCs w:val="21"/>
              </w:rPr>
              <w:t>实训教学场所</w:t>
            </w:r>
          </w:p>
        </w:tc>
        <w:tc>
          <w:tcPr>
            <w:tcW w:w="6861" w:type="dxa"/>
            <w:gridSpan w:val="6"/>
            <w:tcBorders>
              <w:top w:val="single" w:color="auto" w:sz="4" w:space="0"/>
              <w:left w:val="nil"/>
              <w:bottom w:val="single" w:color="000000" w:sz="4" w:space="0"/>
              <w:right w:val="single" w:color="auto" w:sz="4" w:space="0"/>
            </w:tcBorders>
            <w:noWrap w:val="0"/>
            <w:vAlign w:val="center"/>
          </w:tcPr>
          <w:p>
            <w:pPr>
              <w:widowControl/>
              <w:jc w:val="center"/>
              <w:rPr>
                <w:rFonts w:ascii="宋体" w:hAnsi="宋体" w:cs="宋体"/>
                <w:b/>
                <w:bCs/>
                <w:color w:val="171717"/>
                <w:kern w:val="0"/>
                <w:szCs w:val="21"/>
              </w:rPr>
            </w:pPr>
            <w:r>
              <w:rPr>
                <w:rFonts w:hint="eastAsia" w:ascii="宋体" w:hAnsi="宋体" w:cs="宋体"/>
                <w:b/>
                <w:bCs/>
                <w:color w:val="171717"/>
                <w:kern w:val="0"/>
                <w:szCs w:val="21"/>
              </w:rPr>
              <w:t>仪器设备</w:t>
            </w:r>
          </w:p>
        </w:tc>
      </w:tr>
      <w:tr>
        <w:tblPrEx>
          <w:tblCellMar>
            <w:top w:w="0" w:type="dxa"/>
            <w:left w:w="108" w:type="dxa"/>
            <w:bottom w:w="0" w:type="dxa"/>
            <w:right w:w="108" w:type="dxa"/>
          </w:tblCellMar>
        </w:tblPrEx>
        <w:trPr>
          <w:trHeight w:val="624" w:hRule="atLeast"/>
        </w:trPr>
        <w:tc>
          <w:tcPr>
            <w:tcW w:w="917"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r>
              <w:rPr>
                <w:rFonts w:hint="eastAsia" w:ascii="宋体" w:hAnsi="宋体" w:cs="宋体"/>
                <w:color w:val="171717"/>
                <w:kern w:val="0"/>
                <w:szCs w:val="21"/>
              </w:rPr>
              <w:t>序号</w:t>
            </w:r>
          </w:p>
        </w:tc>
        <w:tc>
          <w:tcPr>
            <w:tcW w:w="1134"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r>
              <w:rPr>
                <w:rFonts w:hint="eastAsia" w:ascii="宋体" w:hAnsi="宋体" w:cs="宋体"/>
                <w:color w:val="171717"/>
                <w:kern w:val="0"/>
                <w:szCs w:val="21"/>
              </w:rPr>
              <w:t>名称</w:t>
            </w:r>
          </w:p>
        </w:tc>
        <w:tc>
          <w:tcPr>
            <w:tcW w:w="709"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r>
              <w:rPr>
                <w:rFonts w:hint="eastAsia" w:ascii="宋体" w:hAnsi="宋体" w:cs="宋体"/>
                <w:color w:val="171717"/>
                <w:kern w:val="0"/>
                <w:szCs w:val="21"/>
              </w:rPr>
              <w:t>序号</w:t>
            </w:r>
          </w:p>
        </w:tc>
        <w:tc>
          <w:tcPr>
            <w:tcW w:w="1410"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r>
              <w:rPr>
                <w:rFonts w:hint="eastAsia" w:ascii="宋体" w:hAnsi="宋体" w:cs="宋体"/>
                <w:color w:val="171717"/>
                <w:kern w:val="0"/>
                <w:szCs w:val="21"/>
              </w:rPr>
              <w:t>名称</w:t>
            </w:r>
          </w:p>
        </w:tc>
        <w:tc>
          <w:tcPr>
            <w:tcW w:w="2559"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r>
              <w:rPr>
                <w:rFonts w:hint="eastAsia" w:ascii="宋体" w:hAnsi="宋体" w:cs="宋体"/>
                <w:color w:val="171717"/>
                <w:kern w:val="0"/>
                <w:szCs w:val="21"/>
              </w:rPr>
              <w:t>规格、主要参数或主要要求</w:t>
            </w:r>
          </w:p>
        </w:tc>
        <w:tc>
          <w:tcPr>
            <w:tcW w:w="709"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r>
              <w:rPr>
                <w:rFonts w:hint="eastAsia" w:ascii="宋体" w:hAnsi="宋体" w:cs="宋体"/>
                <w:color w:val="171717"/>
                <w:kern w:val="0"/>
                <w:szCs w:val="21"/>
              </w:rPr>
              <w:t>单位</w:t>
            </w:r>
          </w:p>
        </w:tc>
        <w:tc>
          <w:tcPr>
            <w:tcW w:w="709"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r>
              <w:rPr>
                <w:rFonts w:hint="eastAsia" w:ascii="宋体" w:hAnsi="宋体" w:cs="宋体"/>
                <w:color w:val="171717"/>
                <w:kern w:val="0"/>
                <w:szCs w:val="21"/>
              </w:rPr>
              <w:t>数量</w:t>
            </w:r>
          </w:p>
        </w:tc>
        <w:tc>
          <w:tcPr>
            <w:tcW w:w="765" w:type="dxa"/>
            <w:tcBorders>
              <w:top w:val="single" w:color="000000" w:sz="4" w:space="0"/>
              <w:left w:val="nil"/>
              <w:bottom w:val="single" w:color="000000" w:sz="4" w:space="0"/>
              <w:right w:val="single" w:color="auto" w:sz="4" w:space="0"/>
            </w:tcBorders>
            <w:noWrap w:val="0"/>
            <w:vAlign w:val="center"/>
          </w:tcPr>
          <w:p>
            <w:pPr>
              <w:widowControl/>
              <w:jc w:val="center"/>
              <w:rPr>
                <w:rFonts w:ascii="宋体" w:hAnsi="宋体" w:cs="宋体"/>
                <w:color w:val="171717"/>
                <w:kern w:val="0"/>
                <w:szCs w:val="21"/>
              </w:rPr>
            </w:pPr>
            <w:r>
              <w:rPr>
                <w:rFonts w:hint="eastAsia" w:ascii="宋体" w:hAnsi="宋体" w:cs="宋体"/>
                <w:color w:val="171717"/>
                <w:kern w:val="0"/>
                <w:szCs w:val="21"/>
              </w:rPr>
              <w:t>备注</w:t>
            </w:r>
          </w:p>
        </w:tc>
      </w:tr>
      <w:tr>
        <w:tblPrEx>
          <w:tblCellMar>
            <w:top w:w="0" w:type="dxa"/>
            <w:left w:w="108" w:type="dxa"/>
            <w:bottom w:w="0" w:type="dxa"/>
            <w:right w:w="108" w:type="dxa"/>
          </w:tblCellMar>
        </w:tblPrEx>
        <w:trPr>
          <w:trHeight w:val="624" w:hRule="atLeast"/>
        </w:trPr>
        <w:tc>
          <w:tcPr>
            <w:tcW w:w="917" w:type="dxa"/>
            <w:vMerge w:val="restart"/>
            <w:tcBorders>
              <w:top w:val="nil"/>
              <w:left w:val="single" w:color="auto" w:sz="4" w:space="0"/>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r>
              <w:rPr>
                <w:rFonts w:hint="eastAsia" w:ascii="宋体" w:hAnsi="宋体" w:cs="宋体"/>
                <w:color w:val="171717"/>
                <w:kern w:val="0"/>
                <w:szCs w:val="21"/>
              </w:rPr>
              <w:t>1</w:t>
            </w:r>
          </w:p>
        </w:tc>
        <w:tc>
          <w:tcPr>
            <w:tcW w:w="1134"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r>
              <w:rPr>
                <w:rFonts w:hint="eastAsia" w:ascii="宋体" w:hAnsi="宋体" w:cs="宋体"/>
                <w:color w:val="171717"/>
                <w:kern w:val="0"/>
                <w:szCs w:val="21"/>
              </w:rPr>
              <w:t>钳工实训室</w:t>
            </w:r>
          </w:p>
        </w:tc>
        <w:tc>
          <w:tcPr>
            <w:tcW w:w="709"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r>
              <w:rPr>
                <w:rFonts w:hint="eastAsia" w:ascii="宋体" w:hAnsi="宋体" w:cs="宋体"/>
                <w:color w:val="171717"/>
                <w:kern w:val="0"/>
                <w:szCs w:val="21"/>
              </w:rPr>
              <w:t>1</w:t>
            </w:r>
          </w:p>
        </w:tc>
        <w:tc>
          <w:tcPr>
            <w:tcW w:w="1410"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r>
              <w:rPr>
                <w:rFonts w:hint="eastAsia" w:ascii="宋体" w:hAnsi="宋体" w:cs="宋体"/>
                <w:color w:val="171717"/>
                <w:kern w:val="0"/>
                <w:szCs w:val="21"/>
              </w:rPr>
              <w:t>钳工工作台</w:t>
            </w:r>
          </w:p>
        </w:tc>
        <w:tc>
          <w:tcPr>
            <w:tcW w:w="2559"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r>
              <w:rPr>
                <w:rFonts w:hint="eastAsia" w:ascii="宋体" w:hAnsi="宋体" w:cs="宋体"/>
                <w:color w:val="171717"/>
                <w:kern w:val="0"/>
                <w:szCs w:val="21"/>
              </w:rPr>
              <w:t>配台虎钳</w:t>
            </w:r>
          </w:p>
        </w:tc>
        <w:tc>
          <w:tcPr>
            <w:tcW w:w="709"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r>
              <w:rPr>
                <w:rFonts w:hint="eastAsia" w:ascii="宋体" w:hAnsi="宋体" w:cs="宋体"/>
                <w:color w:val="171717"/>
                <w:kern w:val="0"/>
                <w:szCs w:val="21"/>
              </w:rPr>
              <w:t>工位</w:t>
            </w:r>
          </w:p>
        </w:tc>
        <w:tc>
          <w:tcPr>
            <w:tcW w:w="709"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r>
              <w:rPr>
                <w:rFonts w:hint="eastAsia" w:ascii="宋体" w:hAnsi="宋体" w:cs="宋体"/>
                <w:color w:val="171717"/>
                <w:kern w:val="0"/>
                <w:szCs w:val="21"/>
              </w:rPr>
              <w:t>50</w:t>
            </w:r>
          </w:p>
        </w:tc>
        <w:tc>
          <w:tcPr>
            <w:tcW w:w="765" w:type="dxa"/>
            <w:tcBorders>
              <w:top w:val="single" w:color="000000" w:sz="4" w:space="0"/>
              <w:left w:val="nil"/>
              <w:bottom w:val="single" w:color="000000" w:sz="4" w:space="0"/>
              <w:right w:val="single" w:color="auto" w:sz="4" w:space="0"/>
            </w:tcBorders>
            <w:noWrap w:val="0"/>
            <w:vAlign w:val="center"/>
          </w:tcPr>
          <w:p>
            <w:pPr>
              <w:widowControl/>
              <w:jc w:val="center"/>
              <w:rPr>
                <w:rFonts w:ascii="宋体" w:hAnsi="宋体" w:cs="宋体"/>
                <w:color w:val="171717"/>
                <w:kern w:val="0"/>
                <w:szCs w:val="21"/>
              </w:rPr>
            </w:pPr>
          </w:p>
        </w:tc>
      </w:tr>
      <w:tr>
        <w:tblPrEx>
          <w:tblCellMar>
            <w:top w:w="0" w:type="dxa"/>
            <w:left w:w="108" w:type="dxa"/>
            <w:bottom w:w="0" w:type="dxa"/>
            <w:right w:w="108" w:type="dxa"/>
          </w:tblCellMar>
        </w:tblPrEx>
        <w:trPr>
          <w:trHeight w:val="624" w:hRule="atLeast"/>
        </w:trPr>
        <w:tc>
          <w:tcPr>
            <w:tcW w:w="917" w:type="dxa"/>
            <w:vMerge w:val="continue"/>
            <w:tcBorders>
              <w:top w:val="nil"/>
              <w:left w:val="single" w:color="auto" w:sz="4" w:space="0"/>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p>
        </w:tc>
        <w:tc>
          <w:tcPr>
            <w:tcW w:w="1134" w:type="dxa"/>
            <w:vMerge w:val="continue"/>
            <w:tcBorders>
              <w:top w:val="nil"/>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p>
        </w:tc>
        <w:tc>
          <w:tcPr>
            <w:tcW w:w="709"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r>
              <w:rPr>
                <w:rFonts w:hint="eastAsia" w:ascii="宋体" w:hAnsi="宋体" w:cs="宋体"/>
                <w:color w:val="171717"/>
                <w:kern w:val="0"/>
                <w:szCs w:val="21"/>
              </w:rPr>
              <w:t>2</w:t>
            </w:r>
          </w:p>
        </w:tc>
        <w:tc>
          <w:tcPr>
            <w:tcW w:w="1410"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r>
              <w:rPr>
                <w:rFonts w:hint="eastAsia" w:ascii="宋体" w:hAnsi="宋体" w:cs="宋体"/>
                <w:color w:val="171717"/>
                <w:kern w:val="0"/>
                <w:szCs w:val="21"/>
              </w:rPr>
              <w:t>台式钻床</w:t>
            </w:r>
          </w:p>
        </w:tc>
        <w:tc>
          <w:tcPr>
            <w:tcW w:w="2559"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r>
              <w:rPr>
                <w:rFonts w:hint="eastAsia" w:ascii="宋体" w:hAnsi="宋体" w:cs="宋体"/>
                <w:color w:val="171717"/>
                <w:kern w:val="0"/>
                <w:szCs w:val="21"/>
              </w:rPr>
              <w:t>最大钻孔直径≥12mm</w:t>
            </w:r>
          </w:p>
        </w:tc>
        <w:tc>
          <w:tcPr>
            <w:tcW w:w="709"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r>
              <w:rPr>
                <w:rFonts w:hint="eastAsia" w:ascii="宋体" w:hAnsi="宋体" w:cs="宋体"/>
                <w:color w:val="171717"/>
                <w:kern w:val="0"/>
                <w:szCs w:val="21"/>
              </w:rPr>
              <w:t>台</w:t>
            </w:r>
          </w:p>
        </w:tc>
        <w:tc>
          <w:tcPr>
            <w:tcW w:w="709"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r>
              <w:rPr>
                <w:rFonts w:hint="eastAsia" w:ascii="宋体" w:hAnsi="宋体" w:cs="宋体"/>
                <w:color w:val="171717"/>
                <w:kern w:val="0"/>
                <w:szCs w:val="21"/>
              </w:rPr>
              <w:t>10</w:t>
            </w:r>
          </w:p>
        </w:tc>
        <w:tc>
          <w:tcPr>
            <w:tcW w:w="765" w:type="dxa"/>
            <w:tcBorders>
              <w:top w:val="single" w:color="000000" w:sz="4" w:space="0"/>
              <w:left w:val="nil"/>
              <w:bottom w:val="single" w:color="000000" w:sz="4" w:space="0"/>
              <w:right w:val="single" w:color="auto" w:sz="4" w:space="0"/>
            </w:tcBorders>
            <w:noWrap w:val="0"/>
            <w:vAlign w:val="center"/>
          </w:tcPr>
          <w:p>
            <w:pPr>
              <w:widowControl/>
              <w:jc w:val="center"/>
              <w:rPr>
                <w:rFonts w:ascii="宋体" w:hAnsi="宋体" w:cs="宋体"/>
                <w:color w:val="171717"/>
                <w:kern w:val="0"/>
                <w:szCs w:val="21"/>
              </w:rPr>
            </w:pPr>
          </w:p>
        </w:tc>
      </w:tr>
      <w:tr>
        <w:tblPrEx>
          <w:tblCellMar>
            <w:top w:w="0" w:type="dxa"/>
            <w:left w:w="108" w:type="dxa"/>
            <w:bottom w:w="0" w:type="dxa"/>
            <w:right w:w="108" w:type="dxa"/>
          </w:tblCellMar>
        </w:tblPrEx>
        <w:trPr>
          <w:trHeight w:val="624" w:hRule="atLeast"/>
        </w:trPr>
        <w:tc>
          <w:tcPr>
            <w:tcW w:w="917" w:type="dxa"/>
            <w:vMerge w:val="continue"/>
            <w:tcBorders>
              <w:top w:val="nil"/>
              <w:left w:val="single" w:color="auto" w:sz="4" w:space="0"/>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p>
        </w:tc>
        <w:tc>
          <w:tcPr>
            <w:tcW w:w="1134" w:type="dxa"/>
            <w:vMerge w:val="continue"/>
            <w:tcBorders>
              <w:top w:val="nil"/>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p>
        </w:tc>
        <w:tc>
          <w:tcPr>
            <w:tcW w:w="709"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r>
              <w:rPr>
                <w:rFonts w:hint="eastAsia" w:ascii="宋体" w:hAnsi="宋体" w:cs="宋体"/>
                <w:color w:val="171717"/>
                <w:kern w:val="0"/>
                <w:szCs w:val="21"/>
              </w:rPr>
              <w:t>3</w:t>
            </w:r>
          </w:p>
        </w:tc>
        <w:tc>
          <w:tcPr>
            <w:tcW w:w="1410"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r>
              <w:rPr>
                <w:rFonts w:hint="eastAsia" w:ascii="宋体" w:hAnsi="宋体" w:cs="宋体"/>
                <w:color w:val="171717"/>
                <w:kern w:val="0"/>
                <w:szCs w:val="21"/>
              </w:rPr>
              <w:t>划线平板</w:t>
            </w:r>
          </w:p>
        </w:tc>
        <w:tc>
          <w:tcPr>
            <w:tcW w:w="2559"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r>
              <w:rPr>
                <w:rFonts w:hint="eastAsia" w:ascii="宋体" w:hAnsi="宋体" w:cs="宋体"/>
                <w:color w:val="171717"/>
                <w:kern w:val="0"/>
                <w:szCs w:val="21"/>
              </w:rPr>
              <w:t>≥300mm×400mm</w:t>
            </w:r>
          </w:p>
        </w:tc>
        <w:tc>
          <w:tcPr>
            <w:tcW w:w="709"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r>
              <w:rPr>
                <w:rFonts w:hint="eastAsia" w:ascii="宋体" w:hAnsi="宋体" w:cs="宋体"/>
                <w:color w:val="171717"/>
                <w:kern w:val="0"/>
                <w:szCs w:val="21"/>
              </w:rPr>
              <w:t>块</w:t>
            </w:r>
          </w:p>
        </w:tc>
        <w:tc>
          <w:tcPr>
            <w:tcW w:w="709"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r>
              <w:rPr>
                <w:rFonts w:hint="eastAsia" w:ascii="宋体" w:hAnsi="宋体" w:cs="宋体"/>
                <w:color w:val="171717"/>
                <w:kern w:val="0"/>
                <w:szCs w:val="21"/>
              </w:rPr>
              <w:t>10</w:t>
            </w:r>
          </w:p>
        </w:tc>
        <w:tc>
          <w:tcPr>
            <w:tcW w:w="765" w:type="dxa"/>
            <w:tcBorders>
              <w:top w:val="single" w:color="000000" w:sz="4" w:space="0"/>
              <w:left w:val="nil"/>
              <w:bottom w:val="single" w:color="000000" w:sz="4" w:space="0"/>
              <w:right w:val="single" w:color="auto" w:sz="4" w:space="0"/>
            </w:tcBorders>
            <w:noWrap w:val="0"/>
            <w:vAlign w:val="center"/>
          </w:tcPr>
          <w:p>
            <w:pPr>
              <w:widowControl/>
              <w:jc w:val="center"/>
              <w:rPr>
                <w:rFonts w:ascii="宋体" w:hAnsi="宋体" w:cs="宋体"/>
                <w:color w:val="171717"/>
                <w:kern w:val="0"/>
                <w:szCs w:val="21"/>
              </w:rPr>
            </w:pPr>
          </w:p>
        </w:tc>
      </w:tr>
      <w:tr>
        <w:tblPrEx>
          <w:tblCellMar>
            <w:top w:w="0" w:type="dxa"/>
            <w:left w:w="108" w:type="dxa"/>
            <w:bottom w:w="0" w:type="dxa"/>
            <w:right w:w="108" w:type="dxa"/>
          </w:tblCellMar>
        </w:tblPrEx>
        <w:trPr>
          <w:trHeight w:val="624" w:hRule="atLeast"/>
        </w:trPr>
        <w:tc>
          <w:tcPr>
            <w:tcW w:w="917" w:type="dxa"/>
            <w:vMerge w:val="continue"/>
            <w:tcBorders>
              <w:top w:val="nil"/>
              <w:left w:val="single" w:color="auto" w:sz="4" w:space="0"/>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p>
        </w:tc>
        <w:tc>
          <w:tcPr>
            <w:tcW w:w="1134" w:type="dxa"/>
            <w:vMerge w:val="continue"/>
            <w:tcBorders>
              <w:top w:val="nil"/>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p>
        </w:tc>
        <w:tc>
          <w:tcPr>
            <w:tcW w:w="709"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r>
              <w:rPr>
                <w:rFonts w:hint="eastAsia" w:ascii="宋体" w:hAnsi="宋体" w:cs="宋体"/>
                <w:color w:val="171717"/>
                <w:kern w:val="0"/>
                <w:szCs w:val="21"/>
              </w:rPr>
              <w:t>4</w:t>
            </w:r>
          </w:p>
        </w:tc>
        <w:tc>
          <w:tcPr>
            <w:tcW w:w="1410"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r>
              <w:rPr>
                <w:rFonts w:hint="eastAsia" w:ascii="宋体" w:hAnsi="宋体" w:cs="宋体"/>
                <w:color w:val="171717"/>
                <w:kern w:val="0"/>
                <w:szCs w:val="21"/>
              </w:rPr>
              <w:t>划线方箱</w:t>
            </w:r>
          </w:p>
        </w:tc>
        <w:tc>
          <w:tcPr>
            <w:tcW w:w="2559"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r>
              <w:rPr>
                <w:rFonts w:hint="eastAsia" w:ascii="宋体" w:hAnsi="宋体" w:cs="宋体"/>
                <w:color w:val="171717"/>
                <w:kern w:val="0"/>
                <w:szCs w:val="21"/>
              </w:rPr>
              <w:t>≥200mm×200mm×200mm</w:t>
            </w:r>
          </w:p>
        </w:tc>
        <w:tc>
          <w:tcPr>
            <w:tcW w:w="709"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r>
              <w:rPr>
                <w:rFonts w:hint="eastAsia" w:ascii="宋体" w:hAnsi="宋体" w:cs="宋体"/>
                <w:color w:val="171717"/>
                <w:kern w:val="0"/>
                <w:szCs w:val="21"/>
              </w:rPr>
              <w:t>个</w:t>
            </w:r>
          </w:p>
        </w:tc>
        <w:tc>
          <w:tcPr>
            <w:tcW w:w="709"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r>
              <w:rPr>
                <w:rFonts w:hint="eastAsia" w:ascii="宋体" w:hAnsi="宋体" w:cs="宋体"/>
                <w:color w:val="171717"/>
                <w:kern w:val="0"/>
                <w:szCs w:val="21"/>
              </w:rPr>
              <w:t>10</w:t>
            </w:r>
          </w:p>
        </w:tc>
        <w:tc>
          <w:tcPr>
            <w:tcW w:w="765" w:type="dxa"/>
            <w:tcBorders>
              <w:top w:val="single" w:color="000000" w:sz="4" w:space="0"/>
              <w:left w:val="nil"/>
              <w:bottom w:val="single" w:color="000000" w:sz="4" w:space="0"/>
              <w:right w:val="single" w:color="auto" w:sz="4" w:space="0"/>
            </w:tcBorders>
            <w:noWrap w:val="0"/>
            <w:vAlign w:val="center"/>
          </w:tcPr>
          <w:p>
            <w:pPr>
              <w:widowControl/>
              <w:jc w:val="center"/>
              <w:rPr>
                <w:rFonts w:ascii="宋体" w:hAnsi="宋体" w:cs="宋体"/>
                <w:color w:val="171717"/>
                <w:kern w:val="0"/>
                <w:szCs w:val="21"/>
              </w:rPr>
            </w:pPr>
          </w:p>
        </w:tc>
      </w:tr>
      <w:tr>
        <w:tblPrEx>
          <w:tblCellMar>
            <w:top w:w="0" w:type="dxa"/>
            <w:left w:w="108" w:type="dxa"/>
            <w:bottom w:w="0" w:type="dxa"/>
            <w:right w:w="108" w:type="dxa"/>
          </w:tblCellMar>
        </w:tblPrEx>
        <w:trPr>
          <w:trHeight w:val="624" w:hRule="atLeast"/>
        </w:trPr>
        <w:tc>
          <w:tcPr>
            <w:tcW w:w="917" w:type="dxa"/>
            <w:vMerge w:val="continue"/>
            <w:tcBorders>
              <w:top w:val="nil"/>
              <w:left w:val="single" w:color="auto" w:sz="4" w:space="0"/>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p>
        </w:tc>
        <w:tc>
          <w:tcPr>
            <w:tcW w:w="1134" w:type="dxa"/>
            <w:vMerge w:val="continue"/>
            <w:tcBorders>
              <w:top w:val="nil"/>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p>
        </w:tc>
        <w:tc>
          <w:tcPr>
            <w:tcW w:w="709"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r>
              <w:rPr>
                <w:rFonts w:hint="eastAsia" w:ascii="宋体" w:hAnsi="宋体" w:cs="宋体"/>
                <w:color w:val="171717"/>
                <w:kern w:val="0"/>
                <w:szCs w:val="21"/>
              </w:rPr>
              <w:t>5</w:t>
            </w:r>
          </w:p>
        </w:tc>
        <w:tc>
          <w:tcPr>
            <w:tcW w:w="1410"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r>
              <w:rPr>
                <w:rFonts w:hint="eastAsia" w:ascii="宋体" w:hAnsi="宋体" w:cs="宋体"/>
                <w:color w:val="171717"/>
                <w:kern w:val="0"/>
                <w:szCs w:val="21"/>
              </w:rPr>
              <w:t>配套辅具、工具、量具</w:t>
            </w:r>
          </w:p>
        </w:tc>
        <w:tc>
          <w:tcPr>
            <w:tcW w:w="2559"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r>
              <w:rPr>
                <w:rFonts w:hint="eastAsia" w:ascii="宋体" w:hAnsi="宋体" w:cs="宋体"/>
                <w:color w:val="171717"/>
                <w:kern w:val="0"/>
                <w:szCs w:val="21"/>
              </w:rPr>
              <w:t>台式钻床用平口钳</w:t>
            </w:r>
          </w:p>
        </w:tc>
        <w:tc>
          <w:tcPr>
            <w:tcW w:w="709"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r>
              <w:rPr>
                <w:rFonts w:hint="eastAsia" w:ascii="宋体" w:hAnsi="宋体" w:cs="宋体"/>
                <w:color w:val="171717"/>
                <w:kern w:val="0"/>
                <w:szCs w:val="21"/>
              </w:rPr>
              <w:t>个</w:t>
            </w:r>
          </w:p>
        </w:tc>
        <w:tc>
          <w:tcPr>
            <w:tcW w:w="709"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r>
              <w:rPr>
                <w:rFonts w:hint="eastAsia" w:ascii="宋体" w:hAnsi="宋体" w:cs="宋体"/>
                <w:color w:val="171717"/>
                <w:kern w:val="0"/>
                <w:szCs w:val="21"/>
              </w:rPr>
              <w:t>10</w:t>
            </w:r>
          </w:p>
        </w:tc>
        <w:tc>
          <w:tcPr>
            <w:tcW w:w="765" w:type="dxa"/>
            <w:tcBorders>
              <w:top w:val="single" w:color="000000" w:sz="4" w:space="0"/>
              <w:left w:val="nil"/>
              <w:bottom w:val="single" w:color="000000" w:sz="4" w:space="0"/>
              <w:right w:val="single" w:color="auto" w:sz="4" w:space="0"/>
            </w:tcBorders>
            <w:noWrap w:val="0"/>
            <w:vAlign w:val="center"/>
          </w:tcPr>
          <w:p>
            <w:pPr>
              <w:widowControl/>
              <w:jc w:val="center"/>
              <w:rPr>
                <w:rFonts w:ascii="宋体" w:hAnsi="宋体" w:cs="宋体"/>
                <w:color w:val="171717"/>
                <w:kern w:val="0"/>
                <w:szCs w:val="21"/>
              </w:rPr>
            </w:pPr>
          </w:p>
        </w:tc>
      </w:tr>
      <w:tr>
        <w:tblPrEx>
          <w:tblCellMar>
            <w:top w:w="0" w:type="dxa"/>
            <w:left w:w="108" w:type="dxa"/>
            <w:bottom w:w="0" w:type="dxa"/>
            <w:right w:w="108" w:type="dxa"/>
          </w:tblCellMar>
        </w:tblPrEx>
        <w:trPr>
          <w:trHeight w:val="624" w:hRule="atLeast"/>
        </w:trPr>
        <w:tc>
          <w:tcPr>
            <w:tcW w:w="917" w:type="dxa"/>
            <w:vMerge w:val="continue"/>
            <w:tcBorders>
              <w:top w:val="nil"/>
              <w:left w:val="single" w:color="auto" w:sz="4" w:space="0"/>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p>
        </w:tc>
        <w:tc>
          <w:tcPr>
            <w:tcW w:w="1134" w:type="dxa"/>
            <w:vMerge w:val="continue"/>
            <w:tcBorders>
              <w:top w:val="nil"/>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p>
        </w:tc>
        <w:tc>
          <w:tcPr>
            <w:tcW w:w="709" w:type="dxa"/>
            <w:vMerge w:val="continue"/>
            <w:tcBorders>
              <w:top w:val="nil"/>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p>
        </w:tc>
        <w:tc>
          <w:tcPr>
            <w:tcW w:w="1410" w:type="dxa"/>
            <w:vMerge w:val="continue"/>
            <w:tcBorders>
              <w:top w:val="nil"/>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p>
        </w:tc>
        <w:tc>
          <w:tcPr>
            <w:tcW w:w="2559"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r>
              <w:rPr>
                <w:rFonts w:hint="eastAsia" w:ascii="宋体" w:hAnsi="宋体" w:cs="宋体"/>
                <w:color w:val="171717"/>
                <w:kern w:val="0"/>
                <w:szCs w:val="21"/>
              </w:rPr>
              <w:t>划线用工具</w:t>
            </w:r>
          </w:p>
        </w:tc>
        <w:tc>
          <w:tcPr>
            <w:tcW w:w="709"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r>
              <w:rPr>
                <w:rFonts w:hint="eastAsia" w:ascii="宋体" w:hAnsi="宋体" w:cs="宋体"/>
                <w:color w:val="171717"/>
                <w:kern w:val="0"/>
                <w:szCs w:val="21"/>
              </w:rPr>
              <w:t>套</w:t>
            </w:r>
          </w:p>
        </w:tc>
        <w:tc>
          <w:tcPr>
            <w:tcW w:w="709"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r>
              <w:rPr>
                <w:rFonts w:hint="eastAsia" w:ascii="宋体" w:hAnsi="宋体" w:cs="宋体"/>
                <w:color w:val="171717"/>
                <w:kern w:val="0"/>
                <w:szCs w:val="21"/>
              </w:rPr>
              <w:t>10</w:t>
            </w:r>
          </w:p>
        </w:tc>
        <w:tc>
          <w:tcPr>
            <w:tcW w:w="765" w:type="dxa"/>
            <w:tcBorders>
              <w:top w:val="single" w:color="000000" w:sz="4" w:space="0"/>
              <w:left w:val="nil"/>
              <w:bottom w:val="single" w:color="000000" w:sz="4" w:space="0"/>
              <w:right w:val="single" w:color="auto" w:sz="4" w:space="0"/>
            </w:tcBorders>
            <w:noWrap w:val="0"/>
            <w:vAlign w:val="center"/>
          </w:tcPr>
          <w:p>
            <w:pPr>
              <w:widowControl/>
              <w:jc w:val="center"/>
              <w:rPr>
                <w:rFonts w:ascii="宋体" w:hAnsi="宋体" w:cs="宋体"/>
                <w:color w:val="171717"/>
                <w:kern w:val="0"/>
                <w:szCs w:val="21"/>
              </w:rPr>
            </w:pPr>
          </w:p>
        </w:tc>
      </w:tr>
      <w:tr>
        <w:tblPrEx>
          <w:tblCellMar>
            <w:top w:w="0" w:type="dxa"/>
            <w:left w:w="108" w:type="dxa"/>
            <w:bottom w:w="0" w:type="dxa"/>
            <w:right w:w="108" w:type="dxa"/>
          </w:tblCellMar>
        </w:tblPrEx>
        <w:trPr>
          <w:trHeight w:val="624" w:hRule="atLeast"/>
        </w:trPr>
        <w:tc>
          <w:tcPr>
            <w:tcW w:w="917" w:type="dxa"/>
            <w:vMerge w:val="continue"/>
            <w:tcBorders>
              <w:top w:val="nil"/>
              <w:left w:val="single" w:color="auto" w:sz="4" w:space="0"/>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p>
        </w:tc>
        <w:tc>
          <w:tcPr>
            <w:tcW w:w="1134" w:type="dxa"/>
            <w:vMerge w:val="continue"/>
            <w:tcBorders>
              <w:top w:val="nil"/>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p>
        </w:tc>
        <w:tc>
          <w:tcPr>
            <w:tcW w:w="709" w:type="dxa"/>
            <w:vMerge w:val="continue"/>
            <w:tcBorders>
              <w:top w:val="nil"/>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p>
        </w:tc>
        <w:tc>
          <w:tcPr>
            <w:tcW w:w="1410" w:type="dxa"/>
            <w:vMerge w:val="continue"/>
            <w:tcBorders>
              <w:top w:val="nil"/>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p>
        </w:tc>
        <w:tc>
          <w:tcPr>
            <w:tcW w:w="2559"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r>
              <w:rPr>
                <w:rFonts w:hint="eastAsia" w:ascii="宋体" w:hAnsi="宋体" w:cs="宋体"/>
                <w:color w:val="171717"/>
                <w:kern w:val="0"/>
                <w:szCs w:val="21"/>
              </w:rPr>
              <w:t>万能分度头</w:t>
            </w:r>
          </w:p>
        </w:tc>
        <w:tc>
          <w:tcPr>
            <w:tcW w:w="709"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r>
              <w:rPr>
                <w:rFonts w:hint="eastAsia" w:ascii="宋体" w:hAnsi="宋体" w:cs="宋体"/>
                <w:color w:val="171717"/>
                <w:kern w:val="0"/>
                <w:szCs w:val="21"/>
              </w:rPr>
              <w:t>个</w:t>
            </w:r>
          </w:p>
        </w:tc>
        <w:tc>
          <w:tcPr>
            <w:tcW w:w="709"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r>
              <w:rPr>
                <w:rFonts w:hint="eastAsia" w:ascii="宋体" w:hAnsi="宋体" w:cs="宋体"/>
                <w:color w:val="171717"/>
                <w:kern w:val="0"/>
                <w:szCs w:val="21"/>
              </w:rPr>
              <w:t>10</w:t>
            </w:r>
          </w:p>
        </w:tc>
        <w:tc>
          <w:tcPr>
            <w:tcW w:w="765" w:type="dxa"/>
            <w:tcBorders>
              <w:top w:val="single" w:color="000000" w:sz="4" w:space="0"/>
              <w:left w:val="nil"/>
              <w:bottom w:val="single" w:color="000000" w:sz="4" w:space="0"/>
              <w:right w:val="single" w:color="auto" w:sz="4" w:space="0"/>
            </w:tcBorders>
            <w:noWrap w:val="0"/>
            <w:vAlign w:val="center"/>
          </w:tcPr>
          <w:p>
            <w:pPr>
              <w:widowControl/>
              <w:jc w:val="center"/>
              <w:rPr>
                <w:rFonts w:ascii="宋体" w:hAnsi="宋体" w:cs="宋体"/>
                <w:color w:val="171717"/>
                <w:kern w:val="0"/>
                <w:szCs w:val="21"/>
              </w:rPr>
            </w:pPr>
          </w:p>
        </w:tc>
      </w:tr>
      <w:tr>
        <w:tblPrEx>
          <w:tblCellMar>
            <w:top w:w="0" w:type="dxa"/>
            <w:left w:w="108" w:type="dxa"/>
            <w:bottom w:w="0" w:type="dxa"/>
            <w:right w:w="108" w:type="dxa"/>
          </w:tblCellMar>
        </w:tblPrEx>
        <w:trPr>
          <w:trHeight w:val="624" w:hRule="atLeast"/>
        </w:trPr>
        <w:tc>
          <w:tcPr>
            <w:tcW w:w="917" w:type="dxa"/>
            <w:vMerge w:val="continue"/>
            <w:tcBorders>
              <w:top w:val="nil"/>
              <w:left w:val="single" w:color="auto" w:sz="4" w:space="0"/>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p>
        </w:tc>
        <w:tc>
          <w:tcPr>
            <w:tcW w:w="1134" w:type="dxa"/>
            <w:vMerge w:val="continue"/>
            <w:tcBorders>
              <w:top w:val="nil"/>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p>
        </w:tc>
        <w:tc>
          <w:tcPr>
            <w:tcW w:w="709" w:type="dxa"/>
            <w:vMerge w:val="continue"/>
            <w:tcBorders>
              <w:top w:val="nil"/>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p>
        </w:tc>
        <w:tc>
          <w:tcPr>
            <w:tcW w:w="1410" w:type="dxa"/>
            <w:vMerge w:val="continue"/>
            <w:tcBorders>
              <w:top w:val="nil"/>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p>
        </w:tc>
        <w:tc>
          <w:tcPr>
            <w:tcW w:w="2559"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r>
              <w:rPr>
                <w:rFonts w:hint="eastAsia" w:ascii="宋体" w:hAnsi="宋体" w:cs="宋体"/>
                <w:color w:val="171717"/>
                <w:kern w:val="0"/>
                <w:szCs w:val="21"/>
              </w:rPr>
              <w:t>钳工工具</w:t>
            </w:r>
          </w:p>
        </w:tc>
        <w:tc>
          <w:tcPr>
            <w:tcW w:w="709"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r>
              <w:rPr>
                <w:rFonts w:hint="eastAsia" w:ascii="宋体" w:hAnsi="宋体" w:cs="宋体"/>
                <w:color w:val="171717"/>
                <w:kern w:val="0"/>
                <w:szCs w:val="21"/>
              </w:rPr>
              <w:t>套</w:t>
            </w:r>
          </w:p>
        </w:tc>
        <w:tc>
          <w:tcPr>
            <w:tcW w:w="709"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r>
              <w:rPr>
                <w:rFonts w:hint="eastAsia" w:ascii="宋体" w:hAnsi="宋体" w:cs="宋体"/>
                <w:color w:val="171717"/>
                <w:kern w:val="0"/>
                <w:szCs w:val="21"/>
              </w:rPr>
              <w:t>25</w:t>
            </w:r>
          </w:p>
        </w:tc>
        <w:tc>
          <w:tcPr>
            <w:tcW w:w="765" w:type="dxa"/>
            <w:tcBorders>
              <w:top w:val="single" w:color="000000" w:sz="4" w:space="0"/>
              <w:left w:val="nil"/>
              <w:bottom w:val="single" w:color="000000" w:sz="4" w:space="0"/>
              <w:right w:val="single" w:color="auto" w:sz="4" w:space="0"/>
            </w:tcBorders>
            <w:noWrap w:val="0"/>
            <w:vAlign w:val="center"/>
          </w:tcPr>
          <w:p>
            <w:pPr>
              <w:widowControl/>
              <w:jc w:val="center"/>
              <w:rPr>
                <w:rFonts w:ascii="宋体" w:hAnsi="宋体" w:cs="宋体"/>
                <w:color w:val="171717"/>
                <w:kern w:val="0"/>
                <w:szCs w:val="21"/>
              </w:rPr>
            </w:pPr>
          </w:p>
        </w:tc>
      </w:tr>
      <w:tr>
        <w:tblPrEx>
          <w:tblCellMar>
            <w:top w:w="0" w:type="dxa"/>
            <w:left w:w="108" w:type="dxa"/>
            <w:bottom w:w="0" w:type="dxa"/>
            <w:right w:w="108" w:type="dxa"/>
          </w:tblCellMar>
        </w:tblPrEx>
        <w:trPr>
          <w:trHeight w:val="624" w:hRule="atLeast"/>
        </w:trPr>
        <w:tc>
          <w:tcPr>
            <w:tcW w:w="917" w:type="dxa"/>
            <w:vMerge w:val="continue"/>
            <w:tcBorders>
              <w:top w:val="nil"/>
              <w:left w:val="single" w:color="auto" w:sz="4" w:space="0"/>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p>
        </w:tc>
        <w:tc>
          <w:tcPr>
            <w:tcW w:w="1134" w:type="dxa"/>
            <w:vMerge w:val="continue"/>
            <w:tcBorders>
              <w:top w:val="nil"/>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p>
        </w:tc>
        <w:tc>
          <w:tcPr>
            <w:tcW w:w="709" w:type="dxa"/>
            <w:vMerge w:val="continue"/>
            <w:tcBorders>
              <w:top w:val="nil"/>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p>
        </w:tc>
        <w:tc>
          <w:tcPr>
            <w:tcW w:w="1410" w:type="dxa"/>
            <w:vMerge w:val="continue"/>
            <w:tcBorders>
              <w:top w:val="nil"/>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p>
        </w:tc>
        <w:tc>
          <w:tcPr>
            <w:tcW w:w="2559"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r>
              <w:rPr>
                <w:rFonts w:hint="eastAsia" w:ascii="宋体" w:hAnsi="宋体" w:cs="宋体"/>
                <w:color w:val="171717"/>
                <w:kern w:val="0"/>
                <w:szCs w:val="21"/>
              </w:rPr>
              <w:t>量具(高度尺等量具)</w:t>
            </w:r>
          </w:p>
        </w:tc>
        <w:tc>
          <w:tcPr>
            <w:tcW w:w="709"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r>
              <w:rPr>
                <w:rFonts w:hint="eastAsia" w:ascii="宋体" w:hAnsi="宋体" w:cs="宋体"/>
                <w:color w:val="171717"/>
                <w:kern w:val="0"/>
                <w:szCs w:val="21"/>
              </w:rPr>
              <w:t>套</w:t>
            </w:r>
          </w:p>
        </w:tc>
        <w:tc>
          <w:tcPr>
            <w:tcW w:w="709"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r>
              <w:rPr>
                <w:rFonts w:hint="eastAsia" w:ascii="宋体" w:hAnsi="宋体" w:cs="宋体"/>
                <w:color w:val="171717"/>
                <w:kern w:val="0"/>
                <w:szCs w:val="21"/>
              </w:rPr>
              <w:t>50</w:t>
            </w:r>
          </w:p>
        </w:tc>
        <w:tc>
          <w:tcPr>
            <w:tcW w:w="765" w:type="dxa"/>
            <w:tcBorders>
              <w:top w:val="single" w:color="000000" w:sz="4" w:space="0"/>
              <w:left w:val="nil"/>
              <w:bottom w:val="single" w:color="000000" w:sz="4" w:space="0"/>
              <w:right w:val="single" w:color="auto" w:sz="4" w:space="0"/>
            </w:tcBorders>
            <w:noWrap w:val="0"/>
            <w:vAlign w:val="center"/>
          </w:tcPr>
          <w:p>
            <w:pPr>
              <w:widowControl/>
              <w:jc w:val="center"/>
              <w:rPr>
                <w:rFonts w:ascii="宋体" w:hAnsi="宋体" w:cs="宋体"/>
                <w:color w:val="171717"/>
                <w:kern w:val="0"/>
                <w:szCs w:val="21"/>
              </w:rPr>
            </w:pPr>
          </w:p>
        </w:tc>
      </w:tr>
      <w:tr>
        <w:tblPrEx>
          <w:tblCellMar>
            <w:top w:w="0" w:type="dxa"/>
            <w:left w:w="108" w:type="dxa"/>
            <w:bottom w:w="0" w:type="dxa"/>
            <w:right w:w="108" w:type="dxa"/>
          </w:tblCellMar>
        </w:tblPrEx>
        <w:trPr>
          <w:trHeight w:val="624" w:hRule="atLeast"/>
        </w:trPr>
        <w:tc>
          <w:tcPr>
            <w:tcW w:w="917" w:type="dxa"/>
            <w:vMerge w:val="restart"/>
            <w:tcBorders>
              <w:top w:val="nil"/>
              <w:left w:val="single" w:color="auto" w:sz="4" w:space="0"/>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r>
              <w:rPr>
                <w:rFonts w:hint="eastAsia" w:ascii="宋体" w:hAnsi="宋体" w:cs="宋体"/>
                <w:color w:val="171717"/>
                <w:kern w:val="0"/>
                <w:szCs w:val="21"/>
              </w:rPr>
              <w:t>2</w:t>
            </w:r>
          </w:p>
        </w:tc>
        <w:tc>
          <w:tcPr>
            <w:tcW w:w="1134"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r>
              <w:rPr>
                <w:rFonts w:hint="eastAsia" w:ascii="宋体" w:hAnsi="宋体" w:cs="宋体"/>
                <w:color w:val="171717"/>
                <w:kern w:val="0"/>
                <w:szCs w:val="21"/>
              </w:rPr>
              <w:t>机械加工车间</w:t>
            </w:r>
          </w:p>
        </w:tc>
        <w:tc>
          <w:tcPr>
            <w:tcW w:w="709"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r>
              <w:rPr>
                <w:rFonts w:hint="eastAsia" w:ascii="宋体" w:hAnsi="宋体" w:cs="宋体"/>
                <w:color w:val="171717"/>
                <w:kern w:val="0"/>
                <w:szCs w:val="21"/>
              </w:rPr>
              <w:t>6</w:t>
            </w:r>
          </w:p>
        </w:tc>
        <w:tc>
          <w:tcPr>
            <w:tcW w:w="1410"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r>
              <w:rPr>
                <w:rFonts w:hint="eastAsia" w:ascii="宋体" w:hAnsi="宋体" w:cs="宋体"/>
                <w:color w:val="171717"/>
                <w:kern w:val="0"/>
                <w:szCs w:val="21"/>
              </w:rPr>
              <w:t>普通车床</w:t>
            </w:r>
          </w:p>
        </w:tc>
        <w:tc>
          <w:tcPr>
            <w:tcW w:w="2559"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r>
              <w:rPr>
                <w:rFonts w:hint="eastAsia" w:ascii="宋体" w:hAnsi="宋体" w:cs="宋体"/>
                <w:color w:val="171717"/>
                <w:kern w:val="0"/>
                <w:szCs w:val="21"/>
              </w:rPr>
              <w:t>最大回转直径≥320 mm</w:t>
            </w:r>
          </w:p>
        </w:tc>
        <w:tc>
          <w:tcPr>
            <w:tcW w:w="709"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r>
              <w:rPr>
                <w:rFonts w:hint="eastAsia" w:ascii="宋体" w:hAnsi="宋体" w:cs="宋体"/>
                <w:color w:val="171717"/>
                <w:kern w:val="0"/>
                <w:szCs w:val="21"/>
              </w:rPr>
              <w:t>台</w:t>
            </w:r>
          </w:p>
        </w:tc>
        <w:tc>
          <w:tcPr>
            <w:tcW w:w="709"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r>
              <w:rPr>
                <w:rFonts w:hint="eastAsia" w:ascii="宋体" w:hAnsi="宋体" w:cs="宋体"/>
                <w:color w:val="171717"/>
                <w:kern w:val="0"/>
                <w:szCs w:val="21"/>
              </w:rPr>
              <w:t>3</w:t>
            </w:r>
          </w:p>
        </w:tc>
        <w:tc>
          <w:tcPr>
            <w:tcW w:w="765" w:type="dxa"/>
            <w:tcBorders>
              <w:top w:val="single" w:color="000000" w:sz="4" w:space="0"/>
              <w:left w:val="nil"/>
              <w:bottom w:val="single" w:color="000000" w:sz="4" w:space="0"/>
              <w:right w:val="single" w:color="auto" w:sz="4" w:space="0"/>
            </w:tcBorders>
            <w:noWrap w:val="0"/>
            <w:vAlign w:val="center"/>
          </w:tcPr>
          <w:p>
            <w:pPr>
              <w:widowControl/>
              <w:jc w:val="center"/>
              <w:rPr>
                <w:rFonts w:ascii="宋体" w:hAnsi="宋体" w:cs="宋体"/>
                <w:color w:val="171717"/>
                <w:kern w:val="0"/>
                <w:szCs w:val="21"/>
              </w:rPr>
            </w:pPr>
          </w:p>
        </w:tc>
      </w:tr>
      <w:tr>
        <w:tblPrEx>
          <w:tblCellMar>
            <w:top w:w="0" w:type="dxa"/>
            <w:left w:w="108" w:type="dxa"/>
            <w:bottom w:w="0" w:type="dxa"/>
            <w:right w:w="108" w:type="dxa"/>
          </w:tblCellMar>
        </w:tblPrEx>
        <w:trPr>
          <w:trHeight w:val="624" w:hRule="atLeast"/>
        </w:trPr>
        <w:tc>
          <w:tcPr>
            <w:tcW w:w="917" w:type="dxa"/>
            <w:vMerge w:val="continue"/>
            <w:tcBorders>
              <w:top w:val="nil"/>
              <w:left w:val="single" w:color="auto" w:sz="4" w:space="0"/>
              <w:bottom w:val="single" w:color="auto" w:sz="4" w:space="0"/>
              <w:right w:val="single" w:color="000000" w:sz="4" w:space="0"/>
            </w:tcBorders>
            <w:noWrap w:val="0"/>
            <w:vAlign w:val="center"/>
          </w:tcPr>
          <w:p>
            <w:pPr>
              <w:widowControl/>
              <w:jc w:val="center"/>
              <w:rPr>
                <w:rFonts w:ascii="宋体" w:hAnsi="宋体" w:cs="宋体"/>
                <w:color w:val="171717"/>
                <w:kern w:val="0"/>
                <w:szCs w:val="21"/>
              </w:rPr>
            </w:pPr>
          </w:p>
        </w:tc>
        <w:tc>
          <w:tcPr>
            <w:tcW w:w="1134" w:type="dxa"/>
            <w:vMerge w:val="continue"/>
            <w:tcBorders>
              <w:top w:val="nil"/>
              <w:left w:val="nil"/>
              <w:bottom w:val="single" w:color="auto" w:sz="4" w:space="0"/>
              <w:right w:val="single" w:color="000000" w:sz="4" w:space="0"/>
            </w:tcBorders>
            <w:noWrap w:val="0"/>
            <w:vAlign w:val="center"/>
          </w:tcPr>
          <w:p>
            <w:pPr>
              <w:widowControl/>
              <w:jc w:val="center"/>
              <w:rPr>
                <w:rFonts w:ascii="宋体" w:hAnsi="宋体" w:cs="宋体"/>
                <w:color w:val="171717"/>
                <w:kern w:val="0"/>
                <w:szCs w:val="21"/>
              </w:rPr>
            </w:pPr>
          </w:p>
        </w:tc>
        <w:tc>
          <w:tcPr>
            <w:tcW w:w="709"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r>
              <w:rPr>
                <w:rFonts w:hint="eastAsia" w:ascii="宋体" w:hAnsi="宋体" w:cs="宋体"/>
                <w:color w:val="171717"/>
                <w:kern w:val="0"/>
                <w:szCs w:val="21"/>
              </w:rPr>
              <w:t>7</w:t>
            </w:r>
          </w:p>
        </w:tc>
        <w:tc>
          <w:tcPr>
            <w:tcW w:w="1410"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r>
              <w:rPr>
                <w:rFonts w:hint="eastAsia" w:ascii="宋体" w:hAnsi="宋体" w:cs="宋体"/>
                <w:color w:val="171717"/>
                <w:kern w:val="0"/>
                <w:szCs w:val="21"/>
              </w:rPr>
              <w:t>辅具、刀具、量具</w:t>
            </w:r>
          </w:p>
        </w:tc>
        <w:tc>
          <w:tcPr>
            <w:tcW w:w="2559"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r>
              <w:rPr>
                <w:rFonts w:hint="eastAsia" w:ascii="宋体" w:hAnsi="宋体" w:cs="宋体"/>
                <w:color w:val="171717"/>
                <w:kern w:val="0"/>
                <w:szCs w:val="21"/>
              </w:rPr>
              <w:t>适应实训需要</w:t>
            </w:r>
          </w:p>
        </w:tc>
        <w:tc>
          <w:tcPr>
            <w:tcW w:w="709"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r>
              <w:rPr>
                <w:rFonts w:hint="eastAsia" w:ascii="宋体" w:hAnsi="宋体" w:cs="宋体"/>
                <w:color w:val="171717"/>
                <w:kern w:val="0"/>
                <w:szCs w:val="21"/>
              </w:rPr>
              <w:t>套</w:t>
            </w:r>
          </w:p>
        </w:tc>
        <w:tc>
          <w:tcPr>
            <w:tcW w:w="709"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r>
              <w:rPr>
                <w:rFonts w:hint="eastAsia" w:ascii="宋体" w:hAnsi="宋体" w:cs="宋体"/>
                <w:color w:val="171717"/>
                <w:kern w:val="0"/>
                <w:szCs w:val="21"/>
              </w:rPr>
              <w:t>10</w:t>
            </w:r>
          </w:p>
        </w:tc>
        <w:tc>
          <w:tcPr>
            <w:tcW w:w="765" w:type="dxa"/>
            <w:tcBorders>
              <w:top w:val="single" w:color="000000" w:sz="4" w:space="0"/>
              <w:left w:val="nil"/>
              <w:bottom w:val="single" w:color="000000" w:sz="4" w:space="0"/>
              <w:right w:val="single" w:color="auto" w:sz="4" w:space="0"/>
            </w:tcBorders>
            <w:noWrap w:val="0"/>
            <w:vAlign w:val="center"/>
          </w:tcPr>
          <w:p>
            <w:pPr>
              <w:widowControl/>
              <w:jc w:val="center"/>
              <w:rPr>
                <w:rFonts w:ascii="宋体" w:hAnsi="宋体" w:cs="宋体"/>
                <w:color w:val="171717"/>
                <w:kern w:val="0"/>
                <w:szCs w:val="21"/>
              </w:rPr>
            </w:pPr>
          </w:p>
        </w:tc>
      </w:tr>
      <w:tr>
        <w:tblPrEx>
          <w:tblCellMar>
            <w:top w:w="0" w:type="dxa"/>
            <w:left w:w="108" w:type="dxa"/>
            <w:bottom w:w="0" w:type="dxa"/>
            <w:right w:w="108" w:type="dxa"/>
          </w:tblCellMar>
        </w:tblPrEx>
        <w:trPr>
          <w:trHeight w:val="624" w:hRule="atLeast"/>
        </w:trPr>
        <w:tc>
          <w:tcPr>
            <w:tcW w:w="917" w:type="dxa"/>
            <w:vMerge w:val="restart"/>
            <w:tcBorders>
              <w:top w:val="single" w:color="auto" w:sz="4" w:space="0"/>
              <w:left w:val="single" w:color="auto" w:sz="4" w:space="0"/>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r>
              <w:rPr>
                <w:rFonts w:hint="eastAsia" w:ascii="宋体" w:hAnsi="宋体" w:cs="宋体"/>
                <w:color w:val="171717"/>
                <w:kern w:val="0"/>
                <w:szCs w:val="21"/>
              </w:rPr>
              <w:t>3</w:t>
            </w:r>
          </w:p>
        </w:tc>
        <w:tc>
          <w:tcPr>
            <w:tcW w:w="1134" w:type="dxa"/>
            <w:vMerge w:val="restart"/>
            <w:tcBorders>
              <w:top w:val="single" w:color="auto" w:sz="4" w:space="0"/>
              <w:left w:val="nil"/>
              <w:bottom w:val="single" w:color="000000" w:sz="4" w:space="0"/>
              <w:right w:val="single" w:color="000000" w:sz="4" w:space="0"/>
            </w:tcBorders>
            <w:noWrap w:val="0"/>
            <w:vAlign w:val="center"/>
          </w:tcPr>
          <w:p>
            <w:pPr>
              <w:jc w:val="center"/>
              <w:rPr>
                <w:rFonts w:ascii="宋体" w:hAnsi="宋体" w:cs="宋体"/>
                <w:color w:val="171717"/>
                <w:kern w:val="0"/>
                <w:szCs w:val="21"/>
              </w:rPr>
            </w:pPr>
            <w:r>
              <w:rPr>
                <w:rFonts w:hint="eastAsia" w:ascii="宋体" w:hAnsi="宋体" w:cs="宋体"/>
                <w:color w:val="171717"/>
                <w:kern w:val="0"/>
                <w:szCs w:val="21"/>
                <w:lang w:eastAsia="zh-CN"/>
              </w:rPr>
              <w:t>CAD</w:t>
            </w:r>
            <w:r>
              <w:rPr>
                <w:rFonts w:hint="eastAsia" w:ascii="宋体" w:hAnsi="宋体" w:cs="宋体"/>
                <w:color w:val="171717"/>
                <w:kern w:val="0"/>
                <w:szCs w:val="21"/>
              </w:rPr>
              <w:t>实训室</w:t>
            </w:r>
          </w:p>
        </w:tc>
        <w:tc>
          <w:tcPr>
            <w:tcW w:w="709"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r>
              <w:rPr>
                <w:rFonts w:hint="eastAsia" w:ascii="宋体" w:hAnsi="宋体" w:cs="宋体"/>
                <w:color w:val="171717"/>
                <w:kern w:val="0"/>
                <w:szCs w:val="21"/>
              </w:rPr>
              <w:t>8</w:t>
            </w:r>
          </w:p>
        </w:tc>
        <w:tc>
          <w:tcPr>
            <w:tcW w:w="1410"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r>
              <w:rPr>
                <w:rFonts w:hint="eastAsia" w:ascii="宋体" w:hAnsi="宋体" w:cs="宋体"/>
                <w:color w:val="171717"/>
                <w:kern w:val="0"/>
                <w:szCs w:val="21"/>
              </w:rPr>
              <w:t>计算机</w:t>
            </w:r>
          </w:p>
        </w:tc>
        <w:tc>
          <w:tcPr>
            <w:tcW w:w="2559"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r>
              <w:rPr>
                <w:rFonts w:hint="eastAsia" w:ascii="宋体" w:hAnsi="宋体" w:cs="宋体"/>
                <w:color w:val="171717"/>
                <w:kern w:val="0"/>
                <w:szCs w:val="21"/>
              </w:rPr>
              <w:t>能运行 CAD软件（近3年内版本）</w:t>
            </w:r>
          </w:p>
        </w:tc>
        <w:tc>
          <w:tcPr>
            <w:tcW w:w="709"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r>
              <w:rPr>
                <w:rFonts w:hint="eastAsia" w:ascii="宋体" w:hAnsi="宋体" w:cs="宋体"/>
                <w:color w:val="171717"/>
                <w:kern w:val="0"/>
                <w:szCs w:val="21"/>
              </w:rPr>
              <w:t>台</w:t>
            </w:r>
          </w:p>
        </w:tc>
        <w:tc>
          <w:tcPr>
            <w:tcW w:w="709"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r>
              <w:rPr>
                <w:rFonts w:hint="eastAsia" w:ascii="宋体" w:hAnsi="宋体" w:cs="宋体"/>
                <w:color w:val="171717"/>
                <w:kern w:val="0"/>
                <w:szCs w:val="21"/>
              </w:rPr>
              <w:t>50</w:t>
            </w:r>
          </w:p>
        </w:tc>
        <w:tc>
          <w:tcPr>
            <w:tcW w:w="765" w:type="dxa"/>
            <w:tcBorders>
              <w:top w:val="single" w:color="000000" w:sz="4" w:space="0"/>
              <w:left w:val="nil"/>
              <w:bottom w:val="single" w:color="000000" w:sz="4" w:space="0"/>
              <w:right w:val="single" w:color="auto" w:sz="4" w:space="0"/>
            </w:tcBorders>
            <w:noWrap w:val="0"/>
            <w:vAlign w:val="center"/>
          </w:tcPr>
          <w:p>
            <w:pPr>
              <w:widowControl/>
              <w:jc w:val="center"/>
              <w:rPr>
                <w:rFonts w:ascii="宋体" w:hAnsi="宋体" w:cs="宋体"/>
                <w:color w:val="171717"/>
                <w:kern w:val="0"/>
                <w:szCs w:val="21"/>
              </w:rPr>
            </w:pPr>
          </w:p>
        </w:tc>
      </w:tr>
      <w:tr>
        <w:tblPrEx>
          <w:tblCellMar>
            <w:top w:w="0" w:type="dxa"/>
            <w:left w:w="108" w:type="dxa"/>
            <w:bottom w:w="0" w:type="dxa"/>
            <w:right w:w="108" w:type="dxa"/>
          </w:tblCellMar>
        </w:tblPrEx>
        <w:trPr>
          <w:trHeight w:val="624" w:hRule="atLeast"/>
        </w:trPr>
        <w:tc>
          <w:tcPr>
            <w:tcW w:w="917" w:type="dxa"/>
            <w:vMerge w:val="continue"/>
            <w:tcBorders>
              <w:top w:val="nil"/>
              <w:left w:val="single" w:color="auto" w:sz="4" w:space="0"/>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p>
        </w:tc>
        <w:tc>
          <w:tcPr>
            <w:tcW w:w="1134" w:type="dxa"/>
            <w:vMerge w:val="continue"/>
            <w:tcBorders>
              <w:top w:val="nil"/>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p>
        </w:tc>
        <w:tc>
          <w:tcPr>
            <w:tcW w:w="709"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r>
              <w:rPr>
                <w:rFonts w:hint="eastAsia" w:ascii="宋体" w:hAnsi="宋体" w:cs="宋体"/>
                <w:color w:val="171717"/>
                <w:kern w:val="0"/>
                <w:szCs w:val="21"/>
              </w:rPr>
              <w:t>9</w:t>
            </w:r>
          </w:p>
        </w:tc>
        <w:tc>
          <w:tcPr>
            <w:tcW w:w="1410"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r>
              <w:rPr>
                <w:rFonts w:hint="eastAsia" w:ascii="宋体" w:hAnsi="宋体" w:cs="宋体"/>
                <w:color w:val="171717"/>
                <w:kern w:val="0"/>
                <w:szCs w:val="21"/>
              </w:rPr>
              <w:t>Auto-CAD 软件</w:t>
            </w:r>
          </w:p>
        </w:tc>
        <w:tc>
          <w:tcPr>
            <w:tcW w:w="2559"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r>
              <w:rPr>
                <w:rFonts w:hint="eastAsia" w:ascii="宋体" w:hAnsi="宋体" w:cs="宋体"/>
                <w:color w:val="171717"/>
                <w:kern w:val="0"/>
                <w:szCs w:val="21"/>
              </w:rPr>
              <w:t>企业常用软件（近3年内版本）</w:t>
            </w:r>
          </w:p>
        </w:tc>
        <w:tc>
          <w:tcPr>
            <w:tcW w:w="709"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r>
              <w:rPr>
                <w:rFonts w:hint="eastAsia" w:ascii="宋体" w:hAnsi="宋体" w:cs="宋体"/>
                <w:color w:val="171717"/>
                <w:kern w:val="0"/>
                <w:szCs w:val="21"/>
              </w:rPr>
              <w:t>节点</w:t>
            </w:r>
          </w:p>
        </w:tc>
        <w:tc>
          <w:tcPr>
            <w:tcW w:w="709"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r>
              <w:rPr>
                <w:rFonts w:hint="eastAsia" w:ascii="宋体" w:hAnsi="宋体" w:cs="宋体"/>
                <w:color w:val="171717"/>
                <w:kern w:val="0"/>
                <w:szCs w:val="21"/>
              </w:rPr>
              <w:t>50</w:t>
            </w:r>
          </w:p>
        </w:tc>
        <w:tc>
          <w:tcPr>
            <w:tcW w:w="765" w:type="dxa"/>
            <w:tcBorders>
              <w:top w:val="single" w:color="000000" w:sz="4" w:space="0"/>
              <w:left w:val="nil"/>
              <w:bottom w:val="single" w:color="000000" w:sz="4" w:space="0"/>
              <w:right w:val="single" w:color="auto" w:sz="4" w:space="0"/>
            </w:tcBorders>
            <w:noWrap w:val="0"/>
            <w:vAlign w:val="center"/>
          </w:tcPr>
          <w:p>
            <w:pPr>
              <w:widowControl/>
              <w:jc w:val="center"/>
              <w:rPr>
                <w:rFonts w:ascii="宋体" w:hAnsi="宋体" w:cs="宋体"/>
                <w:color w:val="171717"/>
                <w:kern w:val="0"/>
                <w:szCs w:val="21"/>
              </w:rPr>
            </w:pPr>
          </w:p>
        </w:tc>
      </w:tr>
      <w:tr>
        <w:tblPrEx>
          <w:tblCellMar>
            <w:top w:w="0" w:type="dxa"/>
            <w:left w:w="108" w:type="dxa"/>
            <w:bottom w:w="0" w:type="dxa"/>
            <w:right w:w="108" w:type="dxa"/>
          </w:tblCellMar>
        </w:tblPrEx>
        <w:trPr>
          <w:trHeight w:val="624" w:hRule="atLeast"/>
        </w:trPr>
        <w:tc>
          <w:tcPr>
            <w:tcW w:w="917" w:type="dxa"/>
            <w:vMerge w:val="restart"/>
            <w:tcBorders>
              <w:top w:val="nil"/>
              <w:left w:val="single" w:color="auto" w:sz="4" w:space="0"/>
              <w:right w:val="single" w:color="000000" w:sz="4" w:space="0"/>
            </w:tcBorders>
            <w:noWrap w:val="0"/>
            <w:vAlign w:val="center"/>
          </w:tcPr>
          <w:p>
            <w:pPr>
              <w:widowControl/>
              <w:jc w:val="center"/>
              <w:rPr>
                <w:rFonts w:ascii="宋体" w:hAnsi="宋体" w:cs="宋体"/>
                <w:bCs/>
                <w:kern w:val="0"/>
                <w:szCs w:val="21"/>
              </w:rPr>
            </w:pPr>
            <w:r>
              <w:rPr>
                <w:rFonts w:hint="eastAsia" w:ascii="宋体" w:hAnsi="宋体" w:cs="宋体"/>
                <w:bCs/>
                <w:kern w:val="0"/>
                <w:szCs w:val="21"/>
              </w:rPr>
              <w:t>4</w:t>
            </w:r>
          </w:p>
        </w:tc>
        <w:tc>
          <w:tcPr>
            <w:tcW w:w="1134" w:type="dxa"/>
            <w:vMerge w:val="restart"/>
            <w:tcBorders>
              <w:top w:val="nil"/>
              <w:left w:val="nil"/>
              <w:right w:val="single" w:color="000000" w:sz="4" w:space="0"/>
            </w:tcBorders>
            <w:noWrap w:val="0"/>
            <w:vAlign w:val="center"/>
          </w:tcPr>
          <w:p>
            <w:pPr>
              <w:widowControl/>
              <w:jc w:val="center"/>
              <w:rPr>
                <w:rFonts w:ascii="宋体" w:hAnsi="宋体" w:cs="宋体"/>
                <w:bCs/>
                <w:kern w:val="0"/>
                <w:szCs w:val="21"/>
              </w:rPr>
            </w:pPr>
            <w:r>
              <w:rPr>
                <w:rFonts w:ascii="宋体" w:hAnsi="宋体" w:cs="宋体"/>
                <w:bCs/>
                <w:kern w:val="0"/>
                <w:szCs w:val="21"/>
              </w:rPr>
              <w:t>CA</w:t>
            </w:r>
            <w:r>
              <w:rPr>
                <w:rFonts w:hint="eastAsia" w:ascii="宋体" w:hAnsi="宋体" w:cs="宋体"/>
                <w:bCs/>
                <w:kern w:val="0"/>
                <w:szCs w:val="21"/>
              </w:rPr>
              <w:t>D/CAM实训室</w:t>
            </w:r>
          </w:p>
        </w:tc>
        <w:tc>
          <w:tcPr>
            <w:tcW w:w="709"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bCs/>
                <w:kern w:val="0"/>
                <w:szCs w:val="21"/>
              </w:rPr>
            </w:pPr>
            <w:r>
              <w:rPr>
                <w:rFonts w:hint="eastAsia" w:ascii="宋体" w:hAnsi="宋体" w:cs="宋体"/>
                <w:bCs/>
                <w:kern w:val="0"/>
                <w:szCs w:val="21"/>
              </w:rPr>
              <w:t>10</w:t>
            </w:r>
          </w:p>
        </w:tc>
        <w:tc>
          <w:tcPr>
            <w:tcW w:w="1410"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bCs/>
                <w:kern w:val="0"/>
                <w:szCs w:val="21"/>
              </w:rPr>
            </w:pPr>
            <w:r>
              <w:rPr>
                <w:rFonts w:hint="eastAsia" w:ascii="宋体" w:hAnsi="宋体" w:cs="宋体"/>
                <w:bCs/>
                <w:kern w:val="0"/>
                <w:szCs w:val="21"/>
              </w:rPr>
              <w:t>计算机</w:t>
            </w:r>
          </w:p>
        </w:tc>
        <w:tc>
          <w:tcPr>
            <w:tcW w:w="2559"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bCs/>
                <w:kern w:val="0"/>
                <w:szCs w:val="21"/>
              </w:rPr>
            </w:pPr>
            <w:r>
              <w:rPr>
                <w:rFonts w:hint="eastAsia" w:ascii="宋体" w:hAnsi="宋体" w:cs="宋体"/>
                <w:bCs/>
                <w:kern w:val="0"/>
                <w:szCs w:val="21"/>
              </w:rPr>
              <w:t>能运行CAD/CAM软件（近3年内版本）</w:t>
            </w:r>
          </w:p>
        </w:tc>
        <w:tc>
          <w:tcPr>
            <w:tcW w:w="709"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bCs/>
                <w:kern w:val="0"/>
                <w:szCs w:val="21"/>
              </w:rPr>
            </w:pPr>
            <w:r>
              <w:rPr>
                <w:rFonts w:hint="eastAsia" w:ascii="宋体" w:hAnsi="宋体" w:cs="宋体"/>
                <w:bCs/>
                <w:kern w:val="0"/>
                <w:szCs w:val="21"/>
              </w:rPr>
              <w:t>台</w:t>
            </w:r>
          </w:p>
        </w:tc>
        <w:tc>
          <w:tcPr>
            <w:tcW w:w="709"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bCs/>
                <w:kern w:val="0"/>
                <w:szCs w:val="21"/>
              </w:rPr>
            </w:pPr>
            <w:r>
              <w:rPr>
                <w:rFonts w:hint="eastAsia" w:ascii="宋体" w:hAnsi="宋体" w:cs="宋体"/>
                <w:bCs/>
                <w:kern w:val="0"/>
                <w:szCs w:val="21"/>
              </w:rPr>
              <w:t>50</w:t>
            </w:r>
          </w:p>
        </w:tc>
        <w:tc>
          <w:tcPr>
            <w:tcW w:w="765" w:type="dxa"/>
            <w:tcBorders>
              <w:top w:val="single" w:color="000000" w:sz="4" w:space="0"/>
              <w:left w:val="nil"/>
              <w:bottom w:val="single" w:color="000000" w:sz="4" w:space="0"/>
              <w:right w:val="single" w:color="auto" w:sz="4" w:space="0"/>
            </w:tcBorders>
            <w:noWrap w:val="0"/>
            <w:vAlign w:val="center"/>
          </w:tcPr>
          <w:p>
            <w:pPr>
              <w:widowControl/>
              <w:jc w:val="center"/>
              <w:rPr>
                <w:rFonts w:ascii="宋体" w:hAnsi="宋体" w:cs="宋体"/>
                <w:bCs/>
                <w:kern w:val="0"/>
                <w:szCs w:val="21"/>
              </w:rPr>
            </w:pPr>
          </w:p>
        </w:tc>
      </w:tr>
      <w:tr>
        <w:tblPrEx>
          <w:tblCellMar>
            <w:top w:w="0" w:type="dxa"/>
            <w:left w:w="108" w:type="dxa"/>
            <w:bottom w:w="0" w:type="dxa"/>
            <w:right w:w="108" w:type="dxa"/>
          </w:tblCellMar>
        </w:tblPrEx>
        <w:trPr>
          <w:trHeight w:val="624" w:hRule="atLeast"/>
        </w:trPr>
        <w:tc>
          <w:tcPr>
            <w:tcW w:w="917" w:type="dxa"/>
            <w:vMerge w:val="continue"/>
            <w:tcBorders>
              <w:left w:val="single" w:color="auto" w:sz="4" w:space="0"/>
              <w:right w:val="single" w:color="000000" w:sz="4" w:space="0"/>
            </w:tcBorders>
            <w:noWrap w:val="0"/>
            <w:vAlign w:val="center"/>
          </w:tcPr>
          <w:p>
            <w:pPr>
              <w:jc w:val="center"/>
              <w:rPr>
                <w:rFonts w:ascii="宋体" w:hAnsi="宋体" w:cs="宋体"/>
                <w:bCs/>
                <w:kern w:val="0"/>
                <w:szCs w:val="21"/>
              </w:rPr>
            </w:pPr>
          </w:p>
        </w:tc>
        <w:tc>
          <w:tcPr>
            <w:tcW w:w="1134" w:type="dxa"/>
            <w:vMerge w:val="continue"/>
            <w:tcBorders>
              <w:left w:val="nil"/>
              <w:right w:val="single" w:color="000000" w:sz="4" w:space="0"/>
            </w:tcBorders>
            <w:noWrap w:val="0"/>
            <w:vAlign w:val="center"/>
          </w:tcPr>
          <w:p>
            <w:pPr>
              <w:widowControl/>
              <w:jc w:val="center"/>
              <w:rPr>
                <w:rFonts w:ascii="宋体" w:hAnsi="宋体" w:cs="宋体"/>
                <w:bCs/>
                <w:kern w:val="0"/>
                <w:szCs w:val="21"/>
              </w:rPr>
            </w:pPr>
          </w:p>
        </w:tc>
        <w:tc>
          <w:tcPr>
            <w:tcW w:w="709"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bCs/>
                <w:kern w:val="0"/>
                <w:szCs w:val="21"/>
              </w:rPr>
            </w:pPr>
            <w:r>
              <w:rPr>
                <w:rFonts w:hint="eastAsia" w:ascii="宋体" w:hAnsi="宋体" w:cs="宋体"/>
                <w:bCs/>
                <w:kern w:val="0"/>
                <w:szCs w:val="21"/>
              </w:rPr>
              <w:t>11</w:t>
            </w:r>
          </w:p>
        </w:tc>
        <w:tc>
          <w:tcPr>
            <w:tcW w:w="1410"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bCs/>
                <w:kern w:val="0"/>
                <w:szCs w:val="21"/>
              </w:rPr>
            </w:pPr>
            <w:r>
              <w:rPr>
                <w:rFonts w:hint="eastAsia" w:ascii="宋体" w:hAnsi="宋体" w:cs="宋体"/>
                <w:bCs/>
                <w:kern w:val="0"/>
                <w:szCs w:val="21"/>
              </w:rPr>
              <w:t>CAD/CAM软件</w:t>
            </w:r>
          </w:p>
        </w:tc>
        <w:tc>
          <w:tcPr>
            <w:tcW w:w="2559"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bCs/>
                <w:kern w:val="0"/>
                <w:szCs w:val="21"/>
              </w:rPr>
            </w:pPr>
            <w:r>
              <w:rPr>
                <w:rFonts w:hint="eastAsia" w:ascii="宋体" w:hAnsi="宋体" w:cs="宋体"/>
                <w:kern w:val="0"/>
                <w:szCs w:val="21"/>
              </w:rPr>
              <w:t>企业常用软件</w:t>
            </w:r>
            <w:r>
              <w:rPr>
                <w:rFonts w:hint="eastAsia" w:ascii="宋体" w:hAnsi="宋体" w:cs="宋体"/>
                <w:bCs/>
                <w:kern w:val="0"/>
                <w:szCs w:val="21"/>
              </w:rPr>
              <w:t>（近3年内版本）</w:t>
            </w:r>
          </w:p>
        </w:tc>
        <w:tc>
          <w:tcPr>
            <w:tcW w:w="709"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bCs/>
                <w:kern w:val="0"/>
                <w:szCs w:val="21"/>
              </w:rPr>
            </w:pPr>
            <w:r>
              <w:rPr>
                <w:rFonts w:hint="eastAsia" w:ascii="宋体" w:hAnsi="宋体" w:cs="宋体"/>
                <w:bCs/>
                <w:kern w:val="0"/>
                <w:szCs w:val="21"/>
              </w:rPr>
              <w:t>节点</w:t>
            </w:r>
          </w:p>
        </w:tc>
        <w:tc>
          <w:tcPr>
            <w:tcW w:w="709"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bCs/>
                <w:kern w:val="0"/>
                <w:szCs w:val="21"/>
              </w:rPr>
            </w:pPr>
            <w:r>
              <w:rPr>
                <w:rFonts w:hint="eastAsia" w:ascii="宋体" w:hAnsi="宋体" w:cs="宋体"/>
                <w:bCs/>
                <w:kern w:val="0"/>
                <w:szCs w:val="21"/>
              </w:rPr>
              <w:t>50</w:t>
            </w:r>
          </w:p>
        </w:tc>
        <w:tc>
          <w:tcPr>
            <w:tcW w:w="765" w:type="dxa"/>
            <w:tcBorders>
              <w:top w:val="single" w:color="000000" w:sz="4" w:space="0"/>
              <w:left w:val="nil"/>
              <w:bottom w:val="single" w:color="000000" w:sz="4" w:space="0"/>
              <w:right w:val="single" w:color="auto" w:sz="4" w:space="0"/>
            </w:tcBorders>
            <w:noWrap w:val="0"/>
            <w:vAlign w:val="center"/>
          </w:tcPr>
          <w:p>
            <w:pPr>
              <w:widowControl/>
              <w:jc w:val="center"/>
              <w:rPr>
                <w:rFonts w:ascii="宋体" w:hAnsi="宋体" w:cs="宋体"/>
                <w:bCs/>
                <w:kern w:val="0"/>
                <w:szCs w:val="21"/>
              </w:rPr>
            </w:pPr>
          </w:p>
        </w:tc>
      </w:tr>
      <w:tr>
        <w:tblPrEx>
          <w:tblCellMar>
            <w:top w:w="0" w:type="dxa"/>
            <w:left w:w="108" w:type="dxa"/>
            <w:bottom w:w="0" w:type="dxa"/>
            <w:right w:w="108" w:type="dxa"/>
          </w:tblCellMar>
        </w:tblPrEx>
        <w:trPr>
          <w:trHeight w:val="624" w:hRule="atLeast"/>
        </w:trPr>
        <w:tc>
          <w:tcPr>
            <w:tcW w:w="917" w:type="dxa"/>
            <w:vMerge w:val="restart"/>
            <w:tcBorders>
              <w:top w:val="single" w:color="auto" w:sz="4" w:space="0"/>
              <w:left w:val="single" w:color="auto" w:sz="4" w:space="0"/>
              <w:right w:val="single" w:color="000000" w:sz="4" w:space="0"/>
            </w:tcBorders>
            <w:noWrap w:val="0"/>
            <w:vAlign w:val="center"/>
          </w:tcPr>
          <w:p>
            <w:pPr>
              <w:jc w:val="center"/>
              <w:rPr>
                <w:rFonts w:ascii="宋体" w:hAnsi="宋体" w:cs="宋体"/>
                <w:color w:val="171717"/>
                <w:kern w:val="0"/>
                <w:szCs w:val="21"/>
              </w:rPr>
            </w:pPr>
            <w:r>
              <w:rPr>
                <w:rFonts w:hint="eastAsia" w:ascii="宋体" w:hAnsi="宋体" w:cs="宋体"/>
                <w:color w:val="171717"/>
                <w:kern w:val="0"/>
                <w:szCs w:val="21"/>
              </w:rPr>
              <w:t>5</w:t>
            </w:r>
          </w:p>
        </w:tc>
        <w:tc>
          <w:tcPr>
            <w:tcW w:w="1134" w:type="dxa"/>
            <w:vMerge w:val="restart"/>
            <w:tcBorders>
              <w:top w:val="single" w:color="auto" w:sz="4" w:space="0"/>
              <w:left w:val="nil"/>
              <w:right w:val="single" w:color="000000" w:sz="4" w:space="0"/>
            </w:tcBorders>
            <w:noWrap w:val="0"/>
            <w:vAlign w:val="center"/>
          </w:tcPr>
          <w:p>
            <w:pPr>
              <w:jc w:val="center"/>
              <w:rPr>
                <w:rFonts w:ascii="宋体" w:hAnsi="宋体" w:cs="宋体"/>
                <w:color w:val="171717"/>
                <w:kern w:val="0"/>
                <w:szCs w:val="21"/>
              </w:rPr>
            </w:pPr>
            <w:r>
              <w:rPr>
                <w:rFonts w:hint="eastAsia" w:ascii="宋体" w:hAnsi="宋体" w:cs="宋体"/>
                <w:color w:val="171717"/>
                <w:kern w:val="0"/>
                <w:szCs w:val="21"/>
              </w:rPr>
              <w:t>数控仿真实训室</w:t>
            </w:r>
          </w:p>
        </w:tc>
        <w:tc>
          <w:tcPr>
            <w:tcW w:w="709"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r>
              <w:rPr>
                <w:rFonts w:hint="eastAsia" w:ascii="宋体" w:hAnsi="宋体" w:cs="宋体"/>
                <w:color w:val="171717"/>
                <w:kern w:val="0"/>
                <w:szCs w:val="21"/>
              </w:rPr>
              <w:t>12</w:t>
            </w:r>
          </w:p>
        </w:tc>
        <w:tc>
          <w:tcPr>
            <w:tcW w:w="1410"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r>
              <w:rPr>
                <w:rFonts w:hint="eastAsia" w:ascii="宋体" w:hAnsi="宋体" w:cs="宋体"/>
                <w:color w:val="171717"/>
                <w:kern w:val="0"/>
                <w:szCs w:val="21"/>
              </w:rPr>
              <w:t>计算机</w:t>
            </w:r>
          </w:p>
        </w:tc>
        <w:tc>
          <w:tcPr>
            <w:tcW w:w="2559"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r>
              <w:rPr>
                <w:rFonts w:hint="eastAsia" w:ascii="宋体" w:hAnsi="宋体" w:cs="宋体"/>
                <w:color w:val="171717"/>
                <w:kern w:val="0"/>
                <w:szCs w:val="21"/>
              </w:rPr>
              <w:t>能运行仿真软件（近3年内版本）</w:t>
            </w:r>
          </w:p>
        </w:tc>
        <w:tc>
          <w:tcPr>
            <w:tcW w:w="709"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r>
              <w:rPr>
                <w:rFonts w:hint="eastAsia" w:ascii="宋体" w:hAnsi="宋体" w:cs="宋体"/>
                <w:color w:val="171717"/>
                <w:kern w:val="0"/>
                <w:szCs w:val="21"/>
              </w:rPr>
              <w:t>台</w:t>
            </w:r>
          </w:p>
        </w:tc>
        <w:tc>
          <w:tcPr>
            <w:tcW w:w="709"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r>
              <w:rPr>
                <w:rFonts w:hint="eastAsia" w:ascii="宋体" w:hAnsi="宋体" w:cs="宋体"/>
                <w:color w:val="171717"/>
                <w:kern w:val="0"/>
                <w:szCs w:val="21"/>
              </w:rPr>
              <w:t>50</w:t>
            </w:r>
          </w:p>
        </w:tc>
        <w:tc>
          <w:tcPr>
            <w:tcW w:w="765" w:type="dxa"/>
            <w:tcBorders>
              <w:top w:val="single" w:color="000000" w:sz="4" w:space="0"/>
              <w:left w:val="nil"/>
              <w:bottom w:val="single" w:color="000000" w:sz="4" w:space="0"/>
              <w:right w:val="single" w:color="auto" w:sz="4" w:space="0"/>
            </w:tcBorders>
            <w:noWrap w:val="0"/>
            <w:vAlign w:val="center"/>
          </w:tcPr>
          <w:p>
            <w:pPr>
              <w:widowControl/>
              <w:jc w:val="center"/>
              <w:rPr>
                <w:rFonts w:ascii="宋体" w:hAnsi="宋体" w:cs="宋体"/>
                <w:color w:val="171717"/>
                <w:kern w:val="0"/>
                <w:szCs w:val="21"/>
              </w:rPr>
            </w:pPr>
          </w:p>
        </w:tc>
      </w:tr>
      <w:tr>
        <w:tblPrEx>
          <w:tblCellMar>
            <w:top w:w="0" w:type="dxa"/>
            <w:left w:w="108" w:type="dxa"/>
            <w:bottom w:w="0" w:type="dxa"/>
            <w:right w:w="108" w:type="dxa"/>
          </w:tblCellMar>
        </w:tblPrEx>
        <w:trPr>
          <w:trHeight w:val="624" w:hRule="atLeast"/>
        </w:trPr>
        <w:tc>
          <w:tcPr>
            <w:tcW w:w="917" w:type="dxa"/>
            <w:vMerge w:val="continue"/>
            <w:tcBorders>
              <w:left w:val="single" w:color="auto" w:sz="4" w:space="0"/>
              <w:right w:val="single" w:color="000000" w:sz="4" w:space="0"/>
            </w:tcBorders>
            <w:noWrap w:val="0"/>
            <w:vAlign w:val="center"/>
          </w:tcPr>
          <w:p>
            <w:pPr>
              <w:jc w:val="center"/>
              <w:rPr>
                <w:rFonts w:ascii="宋体" w:hAnsi="宋体" w:cs="宋体"/>
                <w:color w:val="171717"/>
                <w:kern w:val="0"/>
                <w:szCs w:val="21"/>
              </w:rPr>
            </w:pPr>
          </w:p>
        </w:tc>
        <w:tc>
          <w:tcPr>
            <w:tcW w:w="1134" w:type="dxa"/>
            <w:vMerge w:val="continue"/>
            <w:tcBorders>
              <w:left w:val="nil"/>
              <w:right w:val="single" w:color="000000" w:sz="4" w:space="0"/>
            </w:tcBorders>
            <w:noWrap w:val="0"/>
            <w:vAlign w:val="center"/>
          </w:tcPr>
          <w:p>
            <w:pPr>
              <w:jc w:val="center"/>
              <w:rPr>
                <w:rFonts w:ascii="宋体" w:hAnsi="宋体" w:cs="宋体"/>
                <w:color w:val="171717"/>
                <w:kern w:val="0"/>
                <w:szCs w:val="21"/>
              </w:rPr>
            </w:pPr>
          </w:p>
        </w:tc>
        <w:tc>
          <w:tcPr>
            <w:tcW w:w="709"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r>
              <w:rPr>
                <w:rFonts w:hint="eastAsia" w:ascii="宋体" w:hAnsi="宋体" w:cs="宋体"/>
                <w:color w:val="171717"/>
                <w:kern w:val="0"/>
                <w:szCs w:val="21"/>
              </w:rPr>
              <w:t>13</w:t>
            </w:r>
          </w:p>
        </w:tc>
        <w:tc>
          <w:tcPr>
            <w:tcW w:w="1410"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r>
              <w:rPr>
                <w:rFonts w:hint="eastAsia" w:ascii="宋体" w:hAnsi="宋体" w:cs="宋体"/>
                <w:color w:val="171717"/>
                <w:kern w:val="0"/>
                <w:szCs w:val="21"/>
              </w:rPr>
              <w:t>数控加工仿真软件</w:t>
            </w:r>
          </w:p>
        </w:tc>
        <w:tc>
          <w:tcPr>
            <w:tcW w:w="2559"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r>
              <w:rPr>
                <w:rFonts w:hint="eastAsia" w:ascii="宋体" w:hAnsi="宋体" w:cs="宋体"/>
                <w:color w:val="171717"/>
                <w:kern w:val="0"/>
                <w:szCs w:val="21"/>
              </w:rPr>
              <w:t>企业常用软件（近3年内版本）</w:t>
            </w:r>
          </w:p>
        </w:tc>
        <w:tc>
          <w:tcPr>
            <w:tcW w:w="709"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r>
              <w:rPr>
                <w:rFonts w:hint="eastAsia" w:ascii="宋体" w:hAnsi="宋体" w:cs="宋体"/>
                <w:color w:val="171717"/>
                <w:kern w:val="0"/>
                <w:szCs w:val="21"/>
              </w:rPr>
              <w:t>节点</w:t>
            </w:r>
          </w:p>
        </w:tc>
        <w:tc>
          <w:tcPr>
            <w:tcW w:w="709"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r>
              <w:rPr>
                <w:rFonts w:hint="eastAsia" w:ascii="宋体" w:hAnsi="宋体" w:cs="宋体"/>
                <w:color w:val="171717"/>
                <w:kern w:val="0"/>
                <w:szCs w:val="21"/>
              </w:rPr>
              <w:t>50</w:t>
            </w:r>
          </w:p>
        </w:tc>
        <w:tc>
          <w:tcPr>
            <w:tcW w:w="765" w:type="dxa"/>
            <w:tcBorders>
              <w:top w:val="single" w:color="000000" w:sz="4" w:space="0"/>
              <w:left w:val="nil"/>
              <w:bottom w:val="single" w:color="000000" w:sz="4" w:space="0"/>
              <w:right w:val="single" w:color="auto" w:sz="4" w:space="0"/>
            </w:tcBorders>
            <w:noWrap w:val="0"/>
            <w:vAlign w:val="center"/>
          </w:tcPr>
          <w:p>
            <w:pPr>
              <w:widowControl/>
              <w:jc w:val="center"/>
              <w:rPr>
                <w:rFonts w:ascii="宋体" w:hAnsi="宋体" w:cs="宋体"/>
                <w:color w:val="171717"/>
                <w:kern w:val="0"/>
                <w:szCs w:val="21"/>
              </w:rPr>
            </w:pPr>
          </w:p>
        </w:tc>
      </w:tr>
      <w:tr>
        <w:tblPrEx>
          <w:tblCellMar>
            <w:top w:w="0" w:type="dxa"/>
            <w:left w:w="108" w:type="dxa"/>
            <w:bottom w:w="0" w:type="dxa"/>
            <w:right w:w="108" w:type="dxa"/>
          </w:tblCellMar>
        </w:tblPrEx>
        <w:trPr>
          <w:trHeight w:val="624" w:hRule="atLeast"/>
        </w:trPr>
        <w:tc>
          <w:tcPr>
            <w:tcW w:w="917" w:type="dxa"/>
            <w:vMerge w:val="restart"/>
            <w:tcBorders>
              <w:top w:val="single" w:color="auto" w:sz="4" w:space="0"/>
              <w:left w:val="single" w:color="auto" w:sz="4" w:space="0"/>
              <w:right w:val="single" w:color="000000" w:sz="4" w:space="0"/>
            </w:tcBorders>
            <w:noWrap w:val="0"/>
            <w:vAlign w:val="center"/>
          </w:tcPr>
          <w:p>
            <w:pPr>
              <w:jc w:val="center"/>
              <w:rPr>
                <w:rFonts w:ascii="宋体" w:hAnsi="宋体" w:cs="宋体"/>
                <w:color w:val="171717"/>
                <w:kern w:val="0"/>
                <w:szCs w:val="21"/>
              </w:rPr>
            </w:pPr>
            <w:r>
              <w:rPr>
                <w:rFonts w:hint="eastAsia" w:ascii="宋体" w:hAnsi="宋体" w:cs="宋体"/>
                <w:color w:val="171717"/>
                <w:kern w:val="0"/>
                <w:szCs w:val="21"/>
              </w:rPr>
              <w:t>6</w:t>
            </w:r>
          </w:p>
        </w:tc>
        <w:tc>
          <w:tcPr>
            <w:tcW w:w="1134" w:type="dxa"/>
            <w:vMerge w:val="restart"/>
            <w:tcBorders>
              <w:top w:val="single" w:color="auto" w:sz="4" w:space="0"/>
              <w:left w:val="nil"/>
              <w:right w:val="single" w:color="000000" w:sz="4" w:space="0"/>
            </w:tcBorders>
            <w:noWrap w:val="0"/>
            <w:vAlign w:val="center"/>
          </w:tcPr>
          <w:p>
            <w:pPr>
              <w:jc w:val="center"/>
              <w:rPr>
                <w:rFonts w:ascii="宋体" w:hAnsi="宋体" w:cs="宋体"/>
                <w:color w:val="171717"/>
                <w:kern w:val="0"/>
                <w:szCs w:val="21"/>
              </w:rPr>
            </w:pPr>
            <w:r>
              <w:rPr>
                <w:rFonts w:hint="eastAsia" w:ascii="宋体" w:hAnsi="宋体" w:cs="宋体"/>
                <w:color w:val="171717"/>
                <w:kern w:val="0"/>
                <w:szCs w:val="21"/>
              </w:rPr>
              <w:t>数控加工车间</w:t>
            </w:r>
          </w:p>
        </w:tc>
        <w:tc>
          <w:tcPr>
            <w:tcW w:w="709"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r>
              <w:rPr>
                <w:rFonts w:hint="eastAsia" w:ascii="宋体" w:hAnsi="宋体" w:cs="宋体"/>
                <w:color w:val="171717"/>
                <w:kern w:val="0"/>
                <w:szCs w:val="21"/>
              </w:rPr>
              <w:t>14</w:t>
            </w:r>
          </w:p>
        </w:tc>
        <w:tc>
          <w:tcPr>
            <w:tcW w:w="1410"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r>
              <w:rPr>
                <w:rFonts w:hint="eastAsia" w:ascii="宋体" w:hAnsi="宋体" w:cs="宋体"/>
                <w:color w:val="171717"/>
                <w:kern w:val="0"/>
                <w:szCs w:val="21"/>
              </w:rPr>
              <w:t>数控车床</w:t>
            </w:r>
          </w:p>
        </w:tc>
        <w:tc>
          <w:tcPr>
            <w:tcW w:w="2559"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r>
              <w:rPr>
                <w:rFonts w:hint="eastAsia" w:ascii="宋体" w:hAnsi="宋体" w:cs="宋体"/>
                <w:color w:val="171717"/>
                <w:kern w:val="0"/>
                <w:szCs w:val="21"/>
              </w:rPr>
              <w:t>最大回转直径≥400mm</w:t>
            </w:r>
          </w:p>
          <w:p>
            <w:pPr>
              <w:widowControl/>
              <w:jc w:val="center"/>
              <w:rPr>
                <w:rFonts w:ascii="宋体" w:hAnsi="宋体" w:cs="宋体"/>
                <w:color w:val="171717"/>
                <w:kern w:val="0"/>
                <w:szCs w:val="21"/>
              </w:rPr>
            </w:pPr>
            <w:r>
              <w:rPr>
                <w:rFonts w:hint="eastAsia" w:ascii="宋体" w:hAnsi="宋体" w:cs="宋体"/>
                <w:color w:val="171717"/>
                <w:kern w:val="0"/>
                <w:szCs w:val="21"/>
              </w:rPr>
              <w:t>最小设定单位：0.001mm</w:t>
            </w:r>
          </w:p>
        </w:tc>
        <w:tc>
          <w:tcPr>
            <w:tcW w:w="709"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r>
              <w:rPr>
                <w:rFonts w:hint="eastAsia" w:ascii="宋体" w:hAnsi="宋体" w:cs="宋体"/>
                <w:color w:val="171717"/>
                <w:kern w:val="0"/>
                <w:szCs w:val="21"/>
              </w:rPr>
              <w:t>台</w:t>
            </w:r>
          </w:p>
        </w:tc>
        <w:tc>
          <w:tcPr>
            <w:tcW w:w="709"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r>
              <w:rPr>
                <w:rFonts w:hint="eastAsia" w:ascii="宋体" w:hAnsi="宋体" w:cs="宋体"/>
                <w:color w:val="171717"/>
                <w:kern w:val="0"/>
                <w:szCs w:val="21"/>
              </w:rPr>
              <w:t>3</w:t>
            </w:r>
          </w:p>
        </w:tc>
        <w:tc>
          <w:tcPr>
            <w:tcW w:w="765" w:type="dxa"/>
            <w:tcBorders>
              <w:top w:val="single" w:color="000000" w:sz="4" w:space="0"/>
              <w:left w:val="nil"/>
              <w:bottom w:val="single" w:color="000000" w:sz="4" w:space="0"/>
              <w:right w:val="single" w:color="auto" w:sz="4" w:space="0"/>
            </w:tcBorders>
            <w:noWrap w:val="0"/>
            <w:vAlign w:val="center"/>
          </w:tcPr>
          <w:p>
            <w:pPr>
              <w:widowControl/>
              <w:jc w:val="center"/>
              <w:rPr>
                <w:rFonts w:ascii="宋体" w:hAnsi="宋体" w:cs="宋体"/>
                <w:color w:val="171717"/>
                <w:kern w:val="0"/>
                <w:szCs w:val="21"/>
              </w:rPr>
            </w:pPr>
          </w:p>
        </w:tc>
      </w:tr>
      <w:tr>
        <w:tblPrEx>
          <w:tblCellMar>
            <w:top w:w="0" w:type="dxa"/>
            <w:left w:w="108" w:type="dxa"/>
            <w:bottom w:w="0" w:type="dxa"/>
            <w:right w:w="108" w:type="dxa"/>
          </w:tblCellMar>
        </w:tblPrEx>
        <w:trPr>
          <w:trHeight w:val="624" w:hRule="atLeast"/>
        </w:trPr>
        <w:tc>
          <w:tcPr>
            <w:tcW w:w="917" w:type="dxa"/>
            <w:vMerge w:val="continue"/>
            <w:tcBorders>
              <w:left w:val="single" w:color="auto" w:sz="4" w:space="0"/>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p>
        </w:tc>
        <w:tc>
          <w:tcPr>
            <w:tcW w:w="1134" w:type="dxa"/>
            <w:vMerge w:val="continue"/>
            <w:tcBorders>
              <w:left w:val="nil"/>
              <w:bottom w:val="single" w:color="000000" w:sz="4" w:space="0"/>
              <w:right w:val="single" w:color="000000" w:sz="4" w:space="0"/>
            </w:tcBorders>
            <w:noWrap w:val="0"/>
            <w:vAlign w:val="center"/>
          </w:tcPr>
          <w:p>
            <w:pPr>
              <w:widowControl/>
              <w:jc w:val="left"/>
              <w:rPr>
                <w:rFonts w:ascii="宋体" w:hAnsi="宋体" w:cs="宋体"/>
                <w:color w:val="171717"/>
                <w:kern w:val="0"/>
                <w:szCs w:val="21"/>
              </w:rPr>
            </w:pPr>
          </w:p>
        </w:tc>
        <w:tc>
          <w:tcPr>
            <w:tcW w:w="709"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r>
              <w:rPr>
                <w:rFonts w:hint="eastAsia" w:ascii="宋体" w:hAnsi="宋体" w:cs="宋体"/>
                <w:color w:val="171717"/>
                <w:kern w:val="0"/>
                <w:szCs w:val="21"/>
              </w:rPr>
              <w:t>15</w:t>
            </w:r>
          </w:p>
        </w:tc>
        <w:tc>
          <w:tcPr>
            <w:tcW w:w="1410"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r>
              <w:rPr>
                <w:rFonts w:hint="eastAsia" w:ascii="宋体" w:hAnsi="宋体" w:cs="宋体"/>
                <w:color w:val="171717"/>
                <w:kern w:val="0"/>
                <w:szCs w:val="21"/>
              </w:rPr>
              <w:t>加工中心</w:t>
            </w:r>
          </w:p>
        </w:tc>
        <w:tc>
          <w:tcPr>
            <w:tcW w:w="2559"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r>
              <w:rPr>
                <w:rFonts w:hint="eastAsia" w:ascii="宋体" w:hAnsi="宋体" w:cs="宋体"/>
                <w:color w:val="171717"/>
                <w:kern w:val="0"/>
                <w:szCs w:val="21"/>
              </w:rPr>
              <w:t>有效行程 ≥600×400×540mm刀库容量≥16最小设定单位：0.001mm</w:t>
            </w:r>
          </w:p>
        </w:tc>
        <w:tc>
          <w:tcPr>
            <w:tcW w:w="709"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r>
              <w:rPr>
                <w:rFonts w:hint="eastAsia" w:ascii="宋体" w:hAnsi="宋体" w:cs="宋体"/>
                <w:color w:val="171717"/>
                <w:kern w:val="0"/>
                <w:szCs w:val="21"/>
              </w:rPr>
              <w:t>台</w:t>
            </w:r>
          </w:p>
        </w:tc>
        <w:tc>
          <w:tcPr>
            <w:tcW w:w="709"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r>
              <w:rPr>
                <w:rFonts w:hint="eastAsia" w:ascii="宋体" w:hAnsi="宋体" w:cs="宋体"/>
                <w:color w:val="171717"/>
                <w:kern w:val="0"/>
                <w:szCs w:val="21"/>
              </w:rPr>
              <w:t>1</w:t>
            </w:r>
          </w:p>
        </w:tc>
        <w:tc>
          <w:tcPr>
            <w:tcW w:w="765" w:type="dxa"/>
            <w:tcBorders>
              <w:top w:val="single" w:color="000000" w:sz="4" w:space="0"/>
              <w:left w:val="nil"/>
              <w:bottom w:val="single" w:color="000000" w:sz="4" w:space="0"/>
              <w:right w:val="single" w:color="auto" w:sz="4" w:space="0"/>
            </w:tcBorders>
            <w:noWrap w:val="0"/>
            <w:vAlign w:val="center"/>
          </w:tcPr>
          <w:p>
            <w:pPr>
              <w:widowControl/>
              <w:jc w:val="center"/>
              <w:rPr>
                <w:rFonts w:ascii="宋体" w:hAnsi="宋体" w:cs="宋体"/>
                <w:color w:val="171717"/>
                <w:kern w:val="0"/>
                <w:szCs w:val="21"/>
              </w:rPr>
            </w:pPr>
          </w:p>
        </w:tc>
      </w:tr>
      <w:tr>
        <w:tblPrEx>
          <w:tblCellMar>
            <w:top w:w="0" w:type="dxa"/>
            <w:left w:w="108" w:type="dxa"/>
            <w:bottom w:w="0" w:type="dxa"/>
            <w:right w:w="108" w:type="dxa"/>
          </w:tblCellMar>
        </w:tblPrEx>
        <w:trPr>
          <w:trHeight w:val="624" w:hRule="atLeast"/>
        </w:trPr>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171717"/>
                <w:kern w:val="0"/>
                <w:szCs w:val="21"/>
                <w:lang w:val="en-US" w:eastAsia="zh-CN"/>
              </w:rPr>
            </w:pPr>
            <w:r>
              <w:rPr>
                <w:rFonts w:hint="eastAsia" w:ascii="宋体" w:hAnsi="宋体" w:cs="宋体"/>
                <w:color w:val="171717"/>
                <w:kern w:val="0"/>
                <w:szCs w:val="21"/>
                <w:lang w:val="en-US" w:eastAsia="zh-CN"/>
              </w:rPr>
              <w:t>7</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eastAsia="宋体" w:cs="宋体"/>
                <w:color w:val="171717"/>
                <w:kern w:val="0"/>
                <w:sz w:val="21"/>
                <w:szCs w:val="21"/>
                <w:lang w:val="en-US" w:eastAsia="zh-CN" w:bidi="ar-SA"/>
              </w:rPr>
            </w:pPr>
            <w:r>
              <w:rPr>
                <w:rFonts w:hint="eastAsia" w:ascii="宋体" w:hAnsi="宋体" w:eastAsia="宋体" w:cs="宋体"/>
                <w:color w:val="171717"/>
                <w:kern w:val="0"/>
                <w:sz w:val="21"/>
                <w:szCs w:val="21"/>
                <w:lang w:val="en-US" w:eastAsia="zh-CN" w:bidi="ar-SA"/>
              </w:rPr>
              <w:t>零部件测绘及CAD制图实训室</w:t>
            </w:r>
          </w:p>
        </w:tc>
        <w:tc>
          <w:tcPr>
            <w:tcW w:w="709" w:type="dxa"/>
            <w:tcBorders>
              <w:top w:val="single" w:color="000000" w:sz="4" w:space="0"/>
              <w:left w:val="nil"/>
              <w:bottom w:val="single" w:color="000000" w:sz="4" w:space="0"/>
              <w:right w:val="single" w:color="000000" w:sz="4" w:space="0"/>
            </w:tcBorders>
            <w:noWrap w:val="0"/>
            <w:vAlign w:val="center"/>
          </w:tcPr>
          <w:p>
            <w:pPr>
              <w:widowControl/>
              <w:jc w:val="center"/>
              <w:rPr>
                <w:rFonts w:hint="default" w:ascii="宋体" w:hAnsi="宋体" w:eastAsia="宋体" w:cs="宋体"/>
                <w:color w:val="171717"/>
                <w:kern w:val="0"/>
                <w:szCs w:val="21"/>
                <w:lang w:val="en-US" w:eastAsia="zh-CN"/>
              </w:rPr>
            </w:pPr>
            <w:r>
              <w:rPr>
                <w:rFonts w:hint="eastAsia" w:ascii="宋体" w:hAnsi="宋体" w:cs="宋体"/>
                <w:color w:val="171717"/>
                <w:kern w:val="0"/>
                <w:szCs w:val="21"/>
                <w:lang w:val="en-US" w:eastAsia="zh-CN"/>
              </w:rPr>
              <w:t>16</w:t>
            </w:r>
          </w:p>
        </w:tc>
        <w:tc>
          <w:tcPr>
            <w:tcW w:w="1410"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hAnsi="宋体" w:cs="宋体"/>
                <w:color w:val="171717"/>
                <w:kern w:val="0"/>
                <w:szCs w:val="21"/>
              </w:rPr>
            </w:pPr>
            <w:r>
              <w:rPr>
                <w:rFonts w:hint="eastAsia" w:ascii="宋体" w:hAnsi="宋体" w:cs="宋体"/>
                <w:color w:val="171717"/>
                <w:kern w:val="0"/>
                <w:szCs w:val="21"/>
              </w:rPr>
              <w:t>二维设计软件</w:t>
            </w:r>
          </w:p>
        </w:tc>
        <w:tc>
          <w:tcPr>
            <w:tcW w:w="2559"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hAnsi="宋体" w:cs="宋体"/>
                <w:color w:val="171717"/>
                <w:kern w:val="0"/>
                <w:szCs w:val="21"/>
              </w:rPr>
            </w:pPr>
            <w:r>
              <w:rPr>
                <w:rFonts w:hint="eastAsia" w:ascii="宋体" w:hAnsi="宋体" w:cs="宋体"/>
                <w:kern w:val="0"/>
                <w:szCs w:val="21"/>
              </w:rPr>
              <w:t>企业常用软件</w:t>
            </w:r>
            <w:r>
              <w:rPr>
                <w:rFonts w:hint="eastAsia" w:ascii="宋体" w:hAnsi="宋体" w:cs="宋体"/>
                <w:bCs/>
                <w:kern w:val="0"/>
                <w:szCs w:val="21"/>
              </w:rPr>
              <w:t>（近3年内版本）</w:t>
            </w:r>
          </w:p>
        </w:tc>
        <w:tc>
          <w:tcPr>
            <w:tcW w:w="709"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hAnsi="宋体" w:cs="宋体"/>
                <w:color w:val="171717"/>
                <w:kern w:val="0"/>
                <w:szCs w:val="21"/>
              </w:rPr>
            </w:pPr>
            <w:r>
              <w:rPr>
                <w:rFonts w:hint="eastAsia" w:ascii="宋体" w:hAnsi="宋体" w:cs="宋体"/>
                <w:bCs/>
                <w:kern w:val="0"/>
                <w:szCs w:val="21"/>
              </w:rPr>
              <w:t>节点</w:t>
            </w:r>
          </w:p>
        </w:tc>
        <w:tc>
          <w:tcPr>
            <w:tcW w:w="709" w:type="dxa"/>
            <w:tcBorders>
              <w:top w:val="single" w:color="000000" w:sz="4" w:space="0"/>
              <w:left w:val="nil"/>
              <w:bottom w:val="single" w:color="000000" w:sz="4" w:space="0"/>
              <w:right w:val="single" w:color="000000" w:sz="4" w:space="0"/>
            </w:tcBorders>
            <w:noWrap w:val="0"/>
            <w:vAlign w:val="center"/>
          </w:tcPr>
          <w:p>
            <w:pPr>
              <w:widowControl/>
              <w:jc w:val="center"/>
              <w:rPr>
                <w:rFonts w:hint="default" w:ascii="宋体" w:hAnsi="宋体" w:eastAsia="宋体" w:cs="宋体"/>
                <w:color w:val="171717"/>
                <w:kern w:val="0"/>
                <w:szCs w:val="21"/>
                <w:lang w:val="en-US" w:eastAsia="zh-CN"/>
              </w:rPr>
            </w:pPr>
            <w:r>
              <w:rPr>
                <w:rFonts w:hint="eastAsia" w:ascii="宋体" w:hAnsi="宋体" w:cs="宋体"/>
                <w:color w:val="171717"/>
                <w:kern w:val="0"/>
                <w:szCs w:val="21"/>
                <w:lang w:val="en-US" w:eastAsia="zh-CN"/>
              </w:rPr>
              <w:t>40</w:t>
            </w:r>
          </w:p>
        </w:tc>
        <w:tc>
          <w:tcPr>
            <w:tcW w:w="765" w:type="dxa"/>
            <w:tcBorders>
              <w:top w:val="single" w:color="000000" w:sz="4" w:space="0"/>
              <w:left w:val="nil"/>
              <w:bottom w:val="single" w:color="000000" w:sz="4" w:space="0"/>
              <w:right w:val="single" w:color="auto" w:sz="4" w:space="0"/>
            </w:tcBorders>
            <w:noWrap w:val="0"/>
            <w:vAlign w:val="center"/>
          </w:tcPr>
          <w:p>
            <w:pPr>
              <w:widowControl/>
              <w:jc w:val="center"/>
              <w:rPr>
                <w:rFonts w:ascii="宋体" w:hAnsi="宋体" w:cs="宋体"/>
                <w:color w:val="171717"/>
                <w:kern w:val="0"/>
                <w:szCs w:val="21"/>
              </w:rPr>
            </w:pPr>
          </w:p>
        </w:tc>
      </w:tr>
      <w:tr>
        <w:tblPrEx>
          <w:tblCellMar>
            <w:top w:w="0" w:type="dxa"/>
            <w:left w:w="108" w:type="dxa"/>
            <w:bottom w:w="0" w:type="dxa"/>
            <w:right w:w="108" w:type="dxa"/>
          </w:tblCellMar>
        </w:tblPrEx>
        <w:trPr>
          <w:trHeight w:val="624" w:hRule="atLeast"/>
        </w:trPr>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eastAsia="宋体" w:cs="宋体"/>
                <w:color w:val="171717"/>
                <w:kern w:val="0"/>
                <w:sz w:val="21"/>
                <w:szCs w:val="21"/>
                <w:lang w:val="en-US" w:eastAsia="zh-CN" w:bidi="ar-SA"/>
              </w:rPr>
            </w:pPr>
          </w:p>
        </w:tc>
        <w:tc>
          <w:tcPr>
            <w:tcW w:w="709" w:type="dxa"/>
            <w:tcBorders>
              <w:top w:val="single" w:color="000000" w:sz="4" w:space="0"/>
              <w:left w:val="nil"/>
              <w:bottom w:val="single" w:color="000000" w:sz="4" w:space="0"/>
              <w:right w:val="single" w:color="000000" w:sz="4" w:space="0"/>
            </w:tcBorders>
            <w:noWrap w:val="0"/>
            <w:vAlign w:val="center"/>
          </w:tcPr>
          <w:p>
            <w:pPr>
              <w:widowControl/>
              <w:jc w:val="center"/>
              <w:rPr>
                <w:rFonts w:hint="default" w:ascii="宋体" w:hAnsi="宋体" w:eastAsia="宋体" w:cs="宋体"/>
                <w:color w:val="171717"/>
                <w:kern w:val="0"/>
                <w:szCs w:val="21"/>
                <w:lang w:val="en-US" w:eastAsia="zh-CN"/>
              </w:rPr>
            </w:pPr>
            <w:r>
              <w:rPr>
                <w:rFonts w:hint="eastAsia" w:ascii="宋体" w:hAnsi="宋体" w:cs="宋体"/>
                <w:color w:val="171717"/>
                <w:kern w:val="0"/>
                <w:szCs w:val="21"/>
                <w:lang w:val="en-US" w:eastAsia="zh-CN"/>
              </w:rPr>
              <w:t>17</w:t>
            </w:r>
          </w:p>
        </w:tc>
        <w:tc>
          <w:tcPr>
            <w:tcW w:w="1410"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lang w:val="en-US" w:eastAsia="zh-CN"/>
              </w:rPr>
              <w:t>三维设计软件</w:t>
            </w:r>
          </w:p>
        </w:tc>
        <w:tc>
          <w:tcPr>
            <w:tcW w:w="2559"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企业常用软件（近3年内版本）</w:t>
            </w:r>
          </w:p>
        </w:tc>
        <w:tc>
          <w:tcPr>
            <w:tcW w:w="709"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hAnsi="宋体" w:eastAsia="宋体" w:cs="宋体"/>
                <w:color w:val="171717"/>
                <w:kern w:val="0"/>
                <w:sz w:val="21"/>
                <w:szCs w:val="21"/>
                <w:lang w:val="en-US" w:eastAsia="zh-CN" w:bidi="ar-SA"/>
              </w:rPr>
            </w:pPr>
            <w:r>
              <w:rPr>
                <w:rFonts w:hint="eastAsia" w:ascii="宋体" w:hAnsi="宋体" w:cs="宋体"/>
                <w:bCs/>
                <w:kern w:val="0"/>
                <w:szCs w:val="21"/>
              </w:rPr>
              <w:t>节点</w:t>
            </w:r>
          </w:p>
        </w:tc>
        <w:tc>
          <w:tcPr>
            <w:tcW w:w="709"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hAnsi="宋体" w:eastAsia="宋体" w:cs="宋体"/>
                <w:color w:val="171717"/>
                <w:kern w:val="0"/>
                <w:sz w:val="21"/>
                <w:szCs w:val="21"/>
                <w:lang w:val="en-US" w:eastAsia="zh-CN" w:bidi="ar-SA"/>
              </w:rPr>
            </w:pPr>
            <w:r>
              <w:rPr>
                <w:rFonts w:hint="eastAsia" w:ascii="宋体" w:hAnsi="宋体" w:cs="宋体"/>
                <w:color w:val="171717"/>
                <w:kern w:val="0"/>
                <w:szCs w:val="21"/>
                <w:lang w:val="en-US" w:eastAsia="zh-CN"/>
              </w:rPr>
              <w:t>40</w:t>
            </w:r>
          </w:p>
        </w:tc>
        <w:tc>
          <w:tcPr>
            <w:tcW w:w="765" w:type="dxa"/>
            <w:tcBorders>
              <w:top w:val="single" w:color="000000" w:sz="4" w:space="0"/>
              <w:left w:val="nil"/>
              <w:bottom w:val="single" w:color="000000" w:sz="4" w:space="0"/>
              <w:right w:val="single" w:color="auto" w:sz="4" w:space="0"/>
            </w:tcBorders>
            <w:noWrap w:val="0"/>
            <w:vAlign w:val="center"/>
          </w:tcPr>
          <w:p>
            <w:pPr>
              <w:widowControl/>
              <w:jc w:val="center"/>
              <w:rPr>
                <w:rFonts w:ascii="宋体" w:hAnsi="宋体" w:cs="宋体"/>
                <w:color w:val="171717"/>
                <w:kern w:val="0"/>
                <w:szCs w:val="21"/>
              </w:rPr>
            </w:pPr>
          </w:p>
        </w:tc>
      </w:tr>
      <w:tr>
        <w:tblPrEx>
          <w:tblCellMar>
            <w:top w:w="0" w:type="dxa"/>
            <w:left w:w="108" w:type="dxa"/>
            <w:bottom w:w="0" w:type="dxa"/>
            <w:right w:w="108" w:type="dxa"/>
          </w:tblCellMar>
        </w:tblPrEx>
        <w:trPr>
          <w:trHeight w:val="624" w:hRule="atLeast"/>
        </w:trPr>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eastAsia="宋体" w:cs="宋体"/>
                <w:color w:val="171717"/>
                <w:kern w:val="0"/>
                <w:sz w:val="21"/>
                <w:szCs w:val="21"/>
                <w:lang w:val="en-US" w:eastAsia="zh-CN" w:bidi="ar-SA"/>
              </w:rPr>
            </w:pPr>
          </w:p>
        </w:tc>
        <w:tc>
          <w:tcPr>
            <w:tcW w:w="709" w:type="dxa"/>
            <w:tcBorders>
              <w:top w:val="single" w:color="000000" w:sz="4" w:space="0"/>
              <w:left w:val="nil"/>
              <w:bottom w:val="single" w:color="000000" w:sz="4" w:space="0"/>
              <w:right w:val="single" w:color="000000" w:sz="4" w:space="0"/>
            </w:tcBorders>
            <w:noWrap w:val="0"/>
            <w:vAlign w:val="center"/>
          </w:tcPr>
          <w:p>
            <w:pPr>
              <w:widowControl/>
              <w:jc w:val="center"/>
              <w:rPr>
                <w:rFonts w:hint="default" w:ascii="宋体" w:hAnsi="宋体" w:cs="宋体"/>
                <w:color w:val="171717"/>
                <w:kern w:val="0"/>
                <w:szCs w:val="21"/>
                <w:lang w:val="en-US" w:eastAsia="zh-CN"/>
              </w:rPr>
            </w:pPr>
            <w:r>
              <w:rPr>
                <w:rFonts w:hint="eastAsia" w:ascii="宋体" w:hAnsi="宋体" w:cs="宋体"/>
                <w:color w:val="171717"/>
                <w:kern w:val="0"/>
                <w:szCs w:val="21"/>
                <w:lang w:val="en-US" w:eastAsia="zh-CN"/>
              </w:rPr>
              <w:t>18</w:t>
            </w:r>
          </w:p>
        </w:tc>
        <w:tc>
          <w:tcPr>
            <w:tcW w:w="1410"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零部件测绘实训室工量具</w:t>
            </w:r>
          </w:p>
          <w:p>
            <w:pPr>
              <w:widowControl/>
              <w:jc w:val="center"/>
              <w:rPr>
                <w:rFonts w:hint="eastAsia" w:ascii="宋体" w:hAnsi="宋体" w:cs="宋体"/>
                <w:kern w:val="0"/>
                <w:szCs w:val="21"/>
                <w:lang w:val="en-US" w:eastAsia="zh-CN"/>
              </w:rPr>
            </w:pPr>
          </w:p>
        </w:tc>
        <w:tc>
          <w:tcPr>
            <w:tcW w:w="2559" w:type="dxa"/>
            <w:tcBorders>
              <w:top w:val="single" w:color="000000" w:sz="4" w:space="0"/>
              <w:left w:val="nil"/>
              <w:bottom w:val="single" w:color="000000" w:sz="4" w:space="0"/>
              <w:right w:val="single" w:color="000000" w:sz="4" w:space="0"/>
            </w:tcBorders>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常用测绘工具</w:t>
            </w:r>
          </w:p>
        </w:tc>
        <w:tc>
          <w:tcPr>
            <w:tcW w:w="709"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hAnsi="宋体" w:eastAsia="宋体" w:cs="宋体"/>
                <w:bCs/>
                <w:kern w:val="0"/>
                <w:szCs w:val="21"/>
                <w:lang w:val="en-US" w:eastAsia="zh-CN"/>
              </w:rPr>
            </w:pPr>
            <w:r>
              <w:rPr>
                <w:rFonts w:hint="eastAsia" w:ascii="宋体" w:hAnsi="宋体" w:cs="宋体"/>
                <w:bCs/>
                <w:kern w:val="0"/>
                <w:szCs w:val="21"/>
                <w:lang w:val="en-US" w:eastAsia="zh-CN"/>
              </w:rPr>
              <w:t>套</w:t>
            </w:r>
          </w:p>
        </w:tc>
        <w:tc>
          <w:tcPr>
            <w:tcW w:w="709" w:type="dxa"/>
            <w:tcBorders>
              <w:top w:val="single" w:color="000000" w:sz="4" w:space="0"/>
              <w:left w:val="nil"/>
              <w:bottom w:val="single" w:color="000000" w:sz="4" w:space="0"/>
              <w:right w:val="single" w:color="000000" w:sz="4" w:space="0"/>
            </w:tcBorders>
            <w:noWrap w:val="0"/>
            <w:vAlign w:val="center"/>
          </w:tcPr>
          <w:p>
            <w:pPr>
              <w:widowControl/>
              <w:jc w:val="center"/>
              <w:rPr>
                <w:rFonts w:hint="default" w:ascii="宋体" w:hAnsi="宋体" w:cs="宋体"/>
                <w:color w:val="171717"/>
                <w:kern w:val="0"/>
                <w:szCs w:val="21"/>
                <w:lang w:val="en-US" w:eastAsia="zh-CN"/>
              </w:rPr>
            </w:pPr>
            <w:r>
              <w:rPr>
                <w:rFonts w:hint="eastAsia" w:ascii="宋体" w:hAnsi="宋体" w:cs="宋体"/>
                <w:color w:val="171717"/>
                <w:kern w:val="0"/>
                <w:szCs w:val="21"/>
                <w:lang w:val="en-US" w:eastAsia="zh-CN"/>
              </w:rPr>
              <w:t>20</w:t>
            </w:r>
          </w:p>
        </w:tc>
        <w:tc>
          <w:tcPr>
            <w:tcW w:w="765" w:type="dxa"/>
            <w:tcBorders>
              <w:top w:val="single" w:color="000000" w:sz="4" w:space="0"/>
              <w:left w:val="nil"/>
              <w:bottom w:val="single" w:color="000000" w:sz="4" w:space="0"/>
              <w:right w:val="single" w:color="auto" w:sz="4" w:space="0"/>
            </w:tcBorders>
            <w:noWrap w:val="0"/>
            <w:vAlign w:val="center"/>
          </w:tcPr>
          <w:p>
            <w:pPr>
              <w:widowControl/>
              <w:jc w:val="center"/>
              <w:rPr>
                <w:rFonts w:ascii="宋体" w:hAnsi="宋体" w:cs="宋体"/>
                <w:color w:val="171717"/>
                <w:kern w:val="0"/>
                <w:szCs w:val="21"/>
              </w:rPr>
            </w:pPr>
          </w:p>
        </w:tc>
      </w:tr>
      <w:tr>
        <w:tblPrEx>
          <w:tblCellMar>
            <w:top w:w="0" w:type="dxa"/>
            <w:left w:w="108" w:type="dxa"/>
            <w:bottom w:w="0" w:type="dxa"/>
            <w:right w:w="108" w:type="dxa"/>
          </w:tblCellMar>
        </w:tblPrEx>
        <w:trPr>
          <w:trHeight w:val="624" w:hRule="atLeast"/>
        </w:trPr>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171717"/>
                <w:kern w:val="0"/>
                <w:szCs w:val="21"/>
                <w:lang w:val="en-US" w:eastAsia="zh-CN"/>
              </w:rPr>
            </w:pPr>
            <w:r>
              <w:rPr>
                <w:rFonts w:hint="eastAsia" w:ascii="宋体" w:hAnsi="宋体" w:cs="宋体"/>
                <w:color w:val="171717"/>
                <w:kern w:val="0"/>
                <w:szCs w:val="21"/>
                <w:lang w:val="en-US" w:eastAsia="zh-CN"/>
              </w:rPr>
              <w:t>8</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eastAsia="宋体" w:cs="宋体"/>
                <w:color w:val="171717"/>
                <w:kern w:val="0"/>
                <w:sz w:val="21"/>
                <w:szCs w:val="21"/>
                <w:lang w:val="en-US" w:eastAsia="zh-CN" w:bidi="ar-SA"/>
              </w:rPr>
            </w:pPr>
            <w:r>
              <w:rPr>
                <w:rFonts w:hint="eastAsia" w:ascii="宋体" w:hAnsi="宋体" w:eastAsia="宋体" w:cs="宋体"/>
                <w:color w:val="171717"/>
                <w:kern w:val="0"/>
                <w:sz w:val="21"/>
                <w:szCs w:val="21"/>
                <w:lang w:val="en-US" w:eastAsia="zh-CN" w:bidi="ar-SA"/>
              </w:rPr>
              <w:t>三维数字化及3D打印实训室</w:t>
            </w:r>
          </w:p>
        </w:tc>
        <w:tc>
          <w:tcPr>
            <w:tcW w:w="709" w:type="dxa"/>
            <w:tcBorders>
              <w:top w:val="single" w:color="000000" w:sz="4" w:space="0"/>
              <w:left w:val="nil"/>
              <w:bottom w:val="single" w:color="000000" w:sz="4" w:space="0"/>
              <w:right w:val="single" w:color="000000" w:sz="4" w:space="0"/>
            </w:tcBorders>
            <w:noWrap w:val="0"/>
            <w:vAlign w:val="center"/>
          </w:tcPr>
          <w:p>
            <w:pPr>
              <w:widowControl/>
              <w:jc w:val="center"/>
              <w:rPr>
                <w:rFonts w:hint="default" w:ascii="宋体" w:hAnsi="宋体" w:cs="宋体"/>
                <w:color w:val="171717"/>
                <w:kern w:val="0"/>
                <w:szCs w:val="21"/>
                <w:lang w:val="en-US" w:eastAsia="zh-CN"/>
              </w:rPr>
            </w:pPr>
            <w:r>
              <w:rPr>
                <w:rFonts w:hint="eastAsia" w:ascii="宋体" w:hAnsi="宋体" w:cs="宋体"/>
                <w:color w:val="171717"/>
                <w:kern w:val="0"/>
                <w:szCs w:val="21"/>
                <w:lang w:val="en-US" w:eastAsia="zh-CN"/>
              </w:rPr>
              <w:t>19</w:t>
            </w:r>
          </w:p>
        </w:tc>
        <w:tc>
          <w:tcPr>
            <w:tcW w:w="1410"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三维建模软件</w:t>
            </w:r>
          </w:p>
        </w:tc>
        <w:tc>
          <w:tcPr>
            <w:tcW w:w="2559"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rPr>
              <w:t>企业常用软件（近3年内版本）</w:t>
            </w:r>
          </w:p>
        </w:tc>
        <w:tc>
          <w:tcPr>
            <w:tcW w:w="709"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hAnsi="宋体" w:eastAsia="宋体" w:cs="宋体"/>
                <w:color w:val="171717"/>
                <w:kern w:val="0"/>
                <w:sz w:val="21"/>
                <w:szCs w:val="21"/>
                <w:lang w:val="en-US" w:eastAsia="zh-CN" w:bidi="ar-SA"/>
              </w:rPr>
            </w:pPr>
            <w:r>
              <w:rPr>
                <w:rFonts w:hint="eastAsia" w:ascii="宋体" w:hAnsi="宋体" w:cs="宋体"/>
                <w:bCs/>
                <w:kern w:val="0"/>
                <w:szCs w:val="21"/>
              </w:rPr>
              <w:t>节点</w:t>
            </w:r>
          </w:p>
        </w:tc>
        <w:tc>
          <w:tcPr>
            <w:tcW w:w="709"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hAnsi="宋体" w:eastAsia="宋体" w:cs="宋体"/>
                <w:color w:val="171717"/>
                <w:kern w:val="0"/>
                <w:sz w:val="21"/>
                <w:szCs w:val="21"/>
                <w:lang w:val="en-US" w:eastAsia="zh-CN" w:bidi="ar-SA"/>
              </w:rPr>
            </w:pPr>
            <w:r>
              <w:rPr>
                <w:rFonts w:hint="eastAsia" w:ascii="宋体" w:hAnsi="宋体" w:cs="宋体"/>
                <w:color w:val="171717"/>
                <w:kern w:val="0"/>
                <w:szCs w:val="21"/>
                <w:lang w:val="en-US" w:eastAsia="zh-CN"/>
              </w:rPr>
              <w:t>40</w:t>
            </w:r>
          </w:p>
        </w:tc>
        <w:tc>
          <w:tcPr>
            <w:tcW w:w="765" w:type="dxa"/>
            <w:tcBorders>
              <w:top w:val="single" w:color="000000" w:sz="4" w:space="0"/>
              <w:left w:val="nil"/>
              <w:bottom w:val="single" w:color="000000" w:sz="4" w:space="0"/>
              <w:right w:val="single" w:color="auto" w:sz="4" w:space="0"/>
            </w:tcBorders>
            <w:noWrap w:val="0"/>
            <w:vAlign w:val="center"/>
          </w:tcPr>
          <w:p>
            <w:pPr>
              <w:widowControl/>
              <w:jc w:val="center"/>
              <w:rPr>
                <w:rFonts w:ascii="宋体" w:hAnsi="宋体" w:cs="宋体"/>
                <w:color w:val="171717"/>
                <w:kern w:val="0"/>
                <w:szCs w:val="21"/>
              </w:rPr>
            </w:pPr>
          </w:p>
        </w:tc>
      </w:tr>
      <w:tr>
        <w:tblPrEx>
          <w:tblCellMar>
            <w:top w:w="0" w:type="dxa"/>
            <w:left w:w="108" w:type="dxa"/>
            <w:bottom w:w="0" w:type="dxa"/>
            <w:right w:w="108" w:type="dxa"/>
          </w:tblCellMar>
        </w:tblPrEx>
        <w:trPr>
          <w:trHeight w:val="624" w:hRule="atLeast"/>
        </w:trPr>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eastAsia="宋体" w:cs="宋体"/>
                <w:color w:val="171717"/>
                <w:kern w:val="0"/>
                <w:sz w:val="21"/>
                <w:szCs w:val="21"/>
                <w:lang w:val="en-US" w:eastAsia="zh-CN" w:bidi="ar-SA"/>
              </w:rPr>
            </w:pPr>
          </w:p>
        </w:tc>
        <w:tc>
          <w:tcPr>
            <w:tcW w:w="709" w:type="dxa"/>
            <w:tcBorders>
              <w:top w:val="single" w:color="000000" w:sz="4" w:space="0"/>
              <w:left w:val="nil"/>
              <w:bottom w:val="single" w:color="000000" w:sz="4" w:space="0"/>
              <w:right w:val="single" w:color="000000" w:sz="4" w:space="0"/>
            </w:tcBorders>
            <w:noWrap w:val="0"/>
            <w:vAlign w:val="center"/>
          </w:tcPr>
          <w:p>
            <w:pPr>
              <w:widowControl/>
              <w:jc w:val="center"/>
              <w:rPr>
                <w:rFonts w:hint="default" w:ascii="宋体" w:hAnsi="宋体" w:cs="宋体"/>
                <w:color w:val="171717"/>
                <w:kern w:val="0"/>
                <w:szCs w:val="21"/>
                <w:lang w:val="en-US" w:eastAsia="zh-CN"/>
              </w:rPr>
            </w:pPr>
            <w:r>
              <w:rPr>
                <w:rFonts w:hint="eastAsia" w:ascii="宋体" w:hAnsi="宋体" w:cs="宋体"/>
                <w:color w:val="171717"/>
                <w:kern w:val="0"/>
                <w:szCs w:val="21"/>
                <w:lang w:val="en-US" w:eastAsia="zh-CN"/>
              </w:rPr>
              <w:t>20</w:t>
            </w:r>
          </w:p>
        </w:tc>
        <w:tc>
          <w:tcPr>
            <w:tcW w:w="1410"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教学3D打印机</w:t>
            </w:r>
          </w:p>
        </w:tc>
        <w:tc>
          <w:tcPr>
            <w:tcW w:w="2559"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成型体积：≥200*200*300mm</w:t>
            </w:r>
          </w:p>
        </w:tc>
        <w:tc>
          <w:tcPr>
            <w:tcW w:w="709"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hAnsi="宋体" w:cs="宋体"/>
                <w:bCs/>
                <w:kern w:val="0"/>
                <w:szCs w:val="21"/>
                <w:lang w:val="en-US" w:eastAsia="zh-CN"/>
              </w:rPr>
            </w:pPr>
            <w:r>
              <w:rPr>
                <w:rFonts w:hint="eastAsia" w:ascii="宋体" w:hAnsi="宋体" w:cs="宋体"/>
                <w:bCs/>
                <w:kern w:val="0"/>
                <w:szCs w:val="21"/>
                <w:lang w:val="en-US" w:eastAsia="zh-CN"/>
              </w:rPr>
              <w:t>套</w:t>
            </w:r>
          </w:p>
        </w:tc>
        <w:tc>
          <w:tcPr>
            <w:tcW w:w="709" w:type="dxa"/>
            <w:tcBorders>
              <w:top w:val="single" w:color="000000" w:sz="4" w:space="0"/>
              <w:left w:val="nil"/>
              <w:bottom w:val="single" w:color="000000" w:sz="4" w:space="0"/>
              <w:right w:val="single" w:color="000000" w:sz="4" w:space="0"/>
            </w:tcBorders>
            <w:noWrap w:val="0"/>
            <w:vAlign w:val="center"/>
          </w:tcPr>
          <w:p>
            <w:pPr>
              <w:widowControl/>
              <w:jc w:val="center"/>
              <w:rPr>
                <w:rFonts w:hint="default" w:ascii="宋体" w:hAnsi="宋体" w:cs="宋体"/>
                <w:color w:val="171717"/>
                <w:kern w:val="0"/>
                <w:szCs w:val="21"/>
                <w:lang w:val="en-US" w:eastAsia="zh-CN"/>
              </w:rPr>
            </w:pPr>
            <w:r>
              <w:rPr>
                <w:rFonts w:hint="eastAsia" w:ascii="宋体" w:hAnsi="宋体" w:cs="宋体"/>
                <w:color w:val="171717"/>
                <w:kern w:val="0"/>
                <w:szCs w:val="21"/>
                <w:lang w:val="en-US" w:eastAsia="zh-CN"/>
              </w:rPr>
              <w:t>12</w:t>
            </w:r>
          </w:p>
        </w:tc>
        <w:tc>
          <w:tcPr>
            <w:tcW w:w="765" w:type="dxa"/>
            <w:tcBorders>
              <w:top w:val="single" w:color="000000" w:sz="4" w:space="0"/>
              <w:left w:val="nil"/>
              <w:bottom w:val="single" w:color="000000" w:sz="4" w:space="0"/>
              <w:right w:val="single" w:color="auto" w:sz="4" w:space="0"/>
            </w:tcBorders>
            <w:noWrap w:val="0"/>
            <w:vAlign w:val="center"/>
          </w:tcPr>
          <w:p>
            <w:pPr>
              <w:widowControl/>
              <w:jc w:val="center"/>
              <w:rPr>
                <w:rFonts w:ascii="宋体" w:hAnsi="宋体" w:cs="宋体"/>
                <w:color w:val="171717"/>
                <w:kern w:val="0"/>
                <w:szCs w:val="21"/>
              </w:rPr>
            </w:pPr>
          </w:p>
        </w:tc>
      </w:tr>
      <w:tr>
        <w:tblPrEx>
          <w:tblCellMar>
            <w:top w:w="0" w:type="dxa"/>
            <w:left w:w="108" w:type="dxa"/>
            <w:bottom w:w="0" w:type="dxa"/>
            <w:right w:w="108" w:type="dxa"/>
          </w:tblCellMar>
        </w:tblPrEx>
        <w:trPr>
          <w:trHeight w:val="624" w:hRule="atLeast"/>
        </w:trPr>
        <w:tc>
          <w:tcPr>
            <w:tcW w:w="9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171717"/>
                <w:kern w:val="0"/>
                <w:szCs w:val="21"/>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eastAsia="宋体" w:cs="宋体"/>
                <w:color w:val="171717"/>
                <w:kern w:val="0"/>
                <w:sz w:val="21"/>
                <w:szCs w:val="21"/>
                <w:lang w:val="en-US" w:eastAsia="zh-CN" w:bidi="ar-SA"/>
              </w:rPr>
            </w:pPr>
          </w:p>
        </w:tc>
        <w:tc>
          <w:tcPr>
            <w:tcW w:w="709" w:type="dxa"/>
            <w:tcBorders>
              <w:top w:val="single" w:color="000000" w:sz="4" w:space="0"/>
              <w:left w:val="nil"/>
              <w:bottom w:val="single" w:color="auto" w:sz="4" w:space="0"/>
              <w:right w:val="single" w:color="000000" w:sz="4" w:space="0"/>
            </w:tcBorders>
            <w:noWrap w:val="0"/>
            <w:vAlign w:val="center"/>
          </w:tcPr>
          <w:p>
            <w:pPr>
              <w:widowControl/>
              <w:jc w:val="center"/>
              <w:rPr>
                <w:rFonts w:hint="default" w:ascii="宋体" w:hAnsi="宋体" w:cs="宋体"/>
                <w:color w:val="171717"/>
                <w:kern w:val="0"/>
                <w:szCs w:val="21"/>
                <w:lang w:val="en-US" w:eastAsia="zh-CN"/>
              </w:rPr>
            </w:pPr>
            <w:r>
              <w:rPr>
                <w:rFonts w:hint="eastAsia" w:ascii="宋体" w:hAnsi="宋体" w:cs="宋体"/>
                <w:color w:val="171717"/>
                <w:kern w:val="0"/>
                <w:szCs w:val="21"/>
                <w:lang w:val="en-US" w:eastAsia="zh-CN"/>
              </w:rPr>
              <w:t>21</w:t>
            </w:r>
          </w:p>
        </w:tc>
        <w:tc>
          <w:tcPr>
            <w:tcW w:w="1410" w:type="dxa"/>
            <w:tcBorders>
              <w:top w:val="single" w:color="000000" w:sz="4" w:space="0"/>
              <w:left w:val="nil"/>
              <w:bottom w:val="single" w:color="auto" w:sz="4" w:space="0"/>
              <w:right w:val="single" w:color="000000" w:sz="4" w:space="0"/>
            </w:tcBorders>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扫描仪</w:t>
            </w:r>
          </w:p>
        </w:tc>
        <w:tc>
          <w:tcPr>
            <w:tcW w:w="2559" w:type="dxa"/>
            <w:tcBorders>
              <w:top w:val="single" w:color="000000" w:sz="4" w:space="0"/>
              <w:left w:val="nil"/>
              <w:bottom w:val="single" w:color="auto" w:sz="4" w:space="0"/>
              <w:right w:val="single" w:color="000000" w:sz="4" w:space="0"/>
            </w:tcBorders>
            <w:noWrap w:val="0"/>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固定式、手持和桌面三维扫描仪</w:t>
            </w:r>
          </w:p>
        </w:tc>
        <w:tc>
          <w:tcPr>
            <w:tcW w:w="709" w:type="dxa"/>
            <w:tcBorders>
              <w:top w:val="single" w:color="000000" w:sz="4" w:space="0"/>
              <w:left w:val="nil"/>
              <w:bottom w:val="single" w:color="auto" w:sz="4" w:space="0"/>
              <w:right w:val="single" w:color="000000" w:sz="4" w:space="0"/>
            </w:tcBorders>
            <w:noWrap w:val="0"/>
            <w:vAlign w:val="center"/>
          </w:tcPr>
          <w:p>
            <w:pPr>
              <w:widowControl/>
              <w:jc w:val="center"/>
              <w:rPr>
                <w:rFonts w:hint="eastAsia" w:ascii="宋体" w:hAnsi="宋体" w:cs="宋体"/>
                <w:bCs/>
                <w:kern w:val="0"/>
                <w:szCs w:val="21"/>
                <w:lang w:val="en-US" w:eastAsia="zh-CN"/>
              </w:rPr>
            </w:pPr>
            <w:r>
              <w:rPr>
                <w:rFonts w:hint="eastAsia" w:ascii="宋体" w:hAnsi="宋体" w:cs="宋体"/>
                <w:bCs/>
                <w:kern w:val="0"/>
                <w:szCs w:val="21"/>
                <w:lang w:val="en-US" w:eastAsia="zh-CN"/>
              </w:rPr>
              <w:t>套</w:t>
            </w:r>
          </w:p>
        </w:tc>
        <w:tc>
          <w:tcPr>
            <w:tcW w:w="709" w:type="dxa"/>
            <w:tcBorders>
              <w:top w:val="single" w:color="000000" w:sz="4" w:space="0"/>
              <w:left w:val="nil"/>
              <w:bottom w:val="single" w:color="auto" w:sz="4" w:space="0"/>
              <w:right w:val="single" w:color="000000" w:sz="4" w:space="0"/>
            </w:tcBorders>
            <w:noWrap w:val="0"/>
            <w:vAlign w:val="center"/>
          </w:tcPr>
          <w:p>
            <w:pPr>
              <w:widowControl/>
              <w:jc w:val="center"/>
              <w:rPr>
                <w:rFonts w:hint="default" w:ascii="宋体" w:hAnsi="宋体" w:cs="宋体"/>
                <w:color w:val="171717"/>
                <w:kern w:val="0"/>
                <w:szCs w:val="21"/>
                <w:lang w:val="en-US" w:eastAsia="zh-CN"/>
              </w:rPr>
            </w:pPr>
            <w:r>
              <w:rPr>
                <w:rFonts w:hint="eastAsia" w:ascii="宋体" w:hAnsi="宋体" w:cs="宋体"/>
                <w:color w:val="171717"/>
                <w:kern w:val="0"/>
                <w:szCs w:val="21"/>
                <w:lang w:val="en-US" w:eastAsia="zh-CN"/>
              </w:rPr>
              <w:t>3</w:t>
            </w:r>
          </w:p>
        </w:tc>
        <w:tc>
          <w:tcPr>
            <w:tcW w:w="765" w:type="dxa"/>
            <w:tcBorders>
              <w:top w:val="single" w:color="000000" w:sz="4" w:space="0"/>
              <w:left w:val="nil"/>
              <w:bottom w:val="single" w:color="auto" w:sz="4" w:space="0"/>
              <w:right w:val="single" w:color="auto" w:sz="4" w:space="0"/>
            </w:tcBorders>
            <w:noWrap w:val="0"/>
            <w:vAlign w:val="center"/>
          </w:tcPr>
          <w:p>
            <w:pPr>
              <w:widowControl/>
              <w:jc w:val="center"/>
              <w:rPr>
                <w:rFonts w:ascii="宋体" w:hAnsi="宋体" w:cs="宋体"/>
                <w:color w:val="171717"/>
                <w:kern w:val="0"/>
                <w:szCs w:val="21"/>
              </w:rPr>
            </w:pPr>
          </w:p>
        </w:tc>
      </w:tr>
    </w:tbl>
    <w:p>
      <w:pPr>
        <w:pageBreakBefore w:val="0"/>
        <w:kinsoku/>
        <w:wordWrap/>
        <w:overflowPunct/>
        <w:topLinePunct w:val="0"/>
        <w:autoSpaceDE/>
        <w:autoSpaceDN/>
        <w:bidi w:val="0"/>
        <w:adjustRightInd/>
        <w:snapToGrid/>
        <w:spacing w:line="480" w:lineRule="exact"/>
        <w:ind w:firstLine="560" w:firstLineChars="200"/>
        <w:textAlignment w:val="auto"/>
        <w:rPr>
          <w:rFonts w:ascii="宋体" w:hAnsi="宋体" w:cs="宋体"/>
          <w:sz w:val="28"/>
          <w:szCs w:val="28"/>
        </w:rPr>
      </w:pPr>
      <w:r>
        <w:rPr>
          <w:rFonts w:hint="eastAsia" w:ascii="宋体" w:hAnsi="宋体" w:cs="宋体"/>
          <w:sz w:val="28"/>
          <w:szCs w:val="28"/>
        </w:rPr>
        <w:t>2.校外实训基地</w:t>
      </w:r>
    </w:p>
    <w:p>
      <w:pPr>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ascii="宋体" w:hAnsi="宋体" w:cs="宋体"/>
          <w:kern w:val="0"/>
          <w:sz w:val="28"/>
          <w:szCs w:val="28"/>
        </w:rPr>
      </w:pPr>
      <w:r>
        <w:rPr>
          <w:rFonts w:hint="eastAsia" w:ascii="宋体" w:hAnsi="宋体" w:cs="宋体"/>
          <w:color w:val="171717"/>
          <w:kern w:val="0"/>
          <w:sz w:val="28"/>
          <w:szCs w:val="28"/>
        </w:rPr>
        <w:t>学校与企业建立两类的校外实训基地：一类是以专业认识和参观为主的实训基地，能够反映目前专业技能方向新技术，并能同时接纳较多学生学习，为新生入学教育和认识专业课程教学提供条件；另一类是以社会实践及学生顶岗实习为主的实训基地，能够为学生提供真实专业技能方向综合实践轮岗训练的工作岗位，并能保证有效工作时间，该基地能根据培养目标要求和实践教学内容，校企合作共同制订实习计划和</w:t>
      </w:r>
      <w:r>
        <w:rPr>
          <w:rFonts w:hint="eastAsia" w:ascii="宋体" w:hAnsi="宋体" w:cs="宋体"/>
          <w:color w:val="171717"/>
          <w:kern w:val="0"/>
          <w:sz w:val="28"/>
          <w:szCs w:val="28"/>
          <w:lang w:val="en-US" w:eastAsia="zh-CN"/>
        </w:rPr>
        <w:t>课程标准</w:t>
      </w:r>
      <w:r>
        <w:rPr>
          <w:rFonts w:hint="eastAsia" w:ascii="宋体" w:hAnsi="宋体" w:cs="宋体"/>
          <w:color w:val="171717"/>
          <w:kern w:val="0"/>
          <w:sz w:val="28"/>
          <w:szCs w:val="28"/>
        </w:rPr>
        <w:t>，精心编排教学设计并组织、管理教学过程。本专业与莆田市大川汽车有限公司、福建华峰实业有限公司、莆田</w:t>
      </w:r>
      <w:r>
        <w:rPr>
          <w:rFonts w:hint="eastAsia" w:ascii="宋体" w:hAnsi="宋体" w:cs="宋体"/>
          <w:kern w:val="0"/>
          <w:sz w:val="28"/>
          <w:szCs w:val="28"/>
        </w:rPr>
        <w:t>新明宝化学工业有限公司等进行校企合作。</w:t>
      </w:r>
    </w:p>
    <w:p>
      <w:pPr>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ascii="宋体" w:hAnsi="宋体" w:cs="宋体"/>
          <w:color w:val="171717"/>
          <w:kern w:val="0"/>
          <w:sz w:val="28"/>
          <w:szCs w:val="28"/>
        </w:rPr>
      </w:pPr>
      <w:r>
        <w:rPr>
          <w:rFonts w:hint="eastAsia" w:ascii="宋体" w:hAnsi="宋体" w:cs="宋体"/>
          <w:color w:val="171717"/>
          <w:kern w:val="0"/>
          <w:sz w:val="28"/>
          <w:szCs w:val="28"/>
        </w:rPr>
        <w:t>以上这些教学设施基本能够满足本专业的教学需求。</w:t>
      </w:r>
    </w:p>
    <w:p>
      <w:pPr>
        <w:pageBreakBefore w:val="0"/>
        <w:kinsoku/>
        <w:wordWrap/>
        <w:overflowPunct/>
        <w:topLinePunct w:val="0"/>
        <w:autoSpaceDE/>
        <w:autoSpaceDN/>
        <w:bidi w:val="0"/>
        <w:adjustRightInd/>
        <w:snapToGrid/>
        <w:spacing w:line="480" w:lineRule="exact"/>
        <w:ind w:firstLine="562" w:firstLineChars="200"/>
        <w:jc w:val="left"/>
        <w:textAlignment w:val="auto"/>
        <w:rPr>
          <w:rFonts w:ascii="宋体" w:hAnsi="宋体" w:cs="宋体"/>
          <w:b/>
          <w:sz w:val="28"/>
          <w:szCs w:val="28"/>
        </w:rPr>
      </w:pPr>
      <w:r>
        <w:rPr>
          <w:rFonts w:hint="eastAsia" w:ascii="宋体" w:hAnsi="宋体" w:cs="宋体"/>
          <w:b/>
          <w:sz w:val="28"/>
          <w:szCs w:val="28"/>
        </w:rPr>
        <w:t>（三）教学资源</w:t>
      </w:r>
    </w:p>
    <w:p>
      <w:pPr>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ascii="宋体" w:hAnsi="宋体" w:cs="宋体"/>
          <w:color w:val="171717"/>
          <w:kern w:val="0"/>
          <w:sz w:val="28"/>
          <w:szCs w:val="28"/>
        </w:rPr>
      </w:pPr>
      <w:r>
        <w:rPr>
          <w:rFonts w:hint="eastAsia" w:ascii="宋体" w:hAnsi="宋体" w:cs="宋体"/>
          <w:color w:val="171717"/>
          <w:kern w:val="0"/>
          <w:sz w:val="28"/>
          <w:szCs w:val="28"/>
        </w:rPr>
        <w:t>本</w:t>
      </w:r>
      <w:r>
        <w:rPr>
          <w:rFonts w:ascii="宋体" w:hAnsi="宋体" w:cs="宋体"/>
          <w:color w:val="171717"/>
          <w:kern w:val="0"/>
          <w:sz w:val="28"/>
          <w:szCs w:val="28"/>
        </w:rPr>
        <w:t>专业的</w:t>
      </w:r>
      <w:r>
        <w:rPr>
          <w:rFonts w:hint="eastAsia" w:ascii="宋体" w:hAnsi="宋体" w:cs="宋体"/>
          <w:color w:val="171717"/>
          <w:kern w:val="0"/>
          <w:sz w:val="28"/>
          <w:szCs w:val="28"/>
        </w:rPr>
        <w:t>教学</w:t>
      </w:r>
      <w:r>
        <w:rPr>
          <w:rFonts w:ascii="宋体" w:hAnsi="宋体" w:cs="宋体"/>
          <w:color w:val="171717"/>
          <w:kern w:val="0"/>
          <w:sz w:val="28"/>
          <w:szCs w:val="28"/>
        </w:rPr>
        <w:t>资源</w:t>
      </w:r>
      <w:r>
        <w:rPr>
          <w:rFonts w:hint="eastAsia" w:ascii="宋体" w:hAnsi="宋体" w:cs="宋体"/>
          <w:color w:val="171717"/>
          <w:kern w:val="0"/>
          <w:sz w:val="28"/>
          <w:szCs w:val="28"/>
        </w:rPr>
        <w:t>包括以下内容：</w:t>
      </w:r>
      <w:r>
        <w:rPr>
          <w:rFonts w:ascii="宋体" w:hAnsi="宋体" w:cs="宋体"/>
          <w:color w:val="171717"/>
          <w:kern w:val="0"/>
          <w:sz w:val="28"/>
          <w:szCs w:val="28"/>
        </w:rPr>
        <w:t xml:space="preserve">  </w:t>
      </w:r>
    </w:p>
    <w:p>
      <w:pPr>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ascii="宋体" w:hAnsi="宋体" w:cs="宋体"/>
          <w:color w:val="171717"/>
          <w:kern w:val="0"/>
          <w:sz w:val="28"/>
          <w:szCs w:val="28"/>
        </w:rPr>
      </w:pPr>
      <w:r>
        <w:rPr>
          <w:rFonts w:ascii="宋体" w:hAnsi="宋体" w:cs="宋体"/>
          <w:color w:val="171717"/>
          <w:kern w:val="0"/>
          <w:sz w:val="28"/>
          <w:szCs w:val="28"/>
        </w:rPr>
        <w:t xml:space="preserve">1.教学指导文件资源 </w:t>
      </w:r>
    </w:p>
    <w:p>
      <w:pPr>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ascii="宋体" w:hAnsi="宋体" w:cs="宋体"/>
          <w:color w:val="171717"/>
          <w:kern w:val="0"/>
          <w:sz w:val="28"/>
          <w:szCs w:val="28"/>
        </w:rPr>
      </w:pPr>
      <w:r>
        <w:rPr>
          <w:rFonts w:ascii="宋体" w:hAnsi="宋体" w:cs="宋体"/>
          <w:color w:val="171717"/>
          <w:kern w:val="0"/>
          <w:sz w:val="28"/>
          <w:szCs w:val="28"/>
        </w:rPr>
        <w:t xml:space="preserve">包括课程标准、教学计划、教学要求、学校关于教学管理的各种规范等。教师在各种教学活动中必须严格遵守这些教学文件。 </w:t>
      </w:r>
    </w:p>
    <w:p>
      <w:pPr>
        <w:pageBreakBefore w:val="0"/>
        <w:widowControl/>
        <w:numPr>
          <w:ilvl w:val="0"/>
          <w:numId w:val="0"/>
        </w:numPr>
        <w:kinsoku/>
        <w:wordWrap/>
        <w:overflowPunct/>
        <w:topLinePunct w:val="0"/>
        <w:autoSpaceDE/>
        <w:autoSpaceDN/>
        <w:bidi w:val="0"/>
        <w:adjustRightInd/>
        <w:snapToGrid/>
        <w:spacing w:line="480" w:lineRule="exact"/>
        <w:ind w:leftChars="200"/>
        <w:jc w:val="left"/>
        <w:textAlignment w:val="auto"/>
        <w:rPr>
          <w:rFonts w:ascii="宋体" w:hAnsi="宋体" w:cs="宋体"/>
          <w:color w:val="171717"/>
          <w:kern w:val="0"/>
          <w:sz w:val="28"/>
          <w:szCs w:val="28"/>
        </w:rPr>
      </w:pPr>
      <w:r>
        <w:rPr>
          <w:rFonts w:hint="eastAsia" w:ascii="宋体" w:hAnsi="宋体" w:cs="宋体"/>
          <w:color w:val="171717"/>
          <w:kern w:val="0"/>
          <w:sz w:val="28"/>
          <w:szCs w:val="28"/>
          <w:lang w:val="en-US" w:eastAsia="zh-CN"/>
        </w:rPr>
        <w:t>2</w:t>
      </w:r>
      <w:r>
        <w:rPr>
          <w:rFonts w:ascii="宋体" w:hAnsi="宋体" w:cs="宋体"/>
          <w:color w:val="171717"/>
          <w:kern w:val="0"/>
          <w:sz w:val="28"/>
          <w:szCs w:val="28"/>
        </w:rPr>
        <w:t>.电子教案、课件资源</w:t>
      </w:r>
    </w:p>
    <w:p>
      <w:pPr>
        <w:pageBreakBefore w:val="0"/>
        <w:widowControl/>
        <w:numPr>
          <w:ilvl w:val="0"/>
          <w:numId w:val="0"/>
        </w:numPr>
        <w:kinsoku/>
        <w:wordWrap/>
        <w:overflowPunct/>
        <w:topLinePunct w:val="0"/>
        <w:autoSpaceDE/>
        <w:autoSpaceDN/>
        <w:bidi w:val="0"/>
        <w:adjustRightInd/>
        <w:snapToGrid/>
        <w:spacing w:line="480" w:lineRule="exact"/>
        <w:ind w:leftChars="200"/>
        <w:jc w:val="left"/>
        <w:textAlignment w:val="auto"/>
        <w:rPr>
          <w:rFonts w:ascii="宋体" w:hAnsi="宋体" w:cs="宋体"/>
          <w:color w:val="171717"/>
          <w:kern w:val="0"/>
          <w:sz w:val="28"/>
          <w:szCs w:val="28"/>
        </w:rPr>
      </w:pPr>
      <w:r>
        <w:rPr>
          <w:rFonts w:ascii="宋体" w:hAnsi="宋体" w:cs="宋体"/>
          <w:color w:val="171717"/>
          <w:kern w:val="0"/>
          <w:sz w:val="28"/>
          <w:szCs w:val="28"/>
        </w:rPr>
        <w:t xml:space="preserve"> 包含</w:t>
      </w:r>
      <w:r>
        <w:rPr>
          <w:rFonts w:hint="eastAsia" w:ascii="宋体" w:hAnsi="宋体" w:cs="宋体"/>
          <w:color w:val="171717"/>
          <w:kern w:val="0"/>
          <w:sz w:val="28"/>
          <w:szCs w:val="28"/>
        </w:rPr>
        <w:t>各门课程</w:t>
      </w:r>
      <w:r>
        <w:rPr>
          <w:rFonts w:ascii="宋体" w:hAnsi="宋体" w:cs="宋体"/>
          <w:color w:val="171717"/>
          <w:kern w:val="0"/>
          <w:sz w:val="28"/>
          <w:szCs w:val="28"/>
        </w:rPr>
        <w:t>教学用电子教案和各类相关课件，这些教案是教师</w:t>
      </w:r>
    </w:p>
    <w:p>
      <w:pPr>
        <w:pageBreakBefore w:val="0"/>
        <w:widowControl/>
        <w:numPr>
          <w:ilvl w:val="0"/>
          <w:numId w:val="0"/>
        </w:numPr>
        <w:kinsoku/>
        <w:wordWrap/>
        <w:overflowPunct/>
        <w:topLinePunct w:val="0"/>
        <w:autoSpaceDE/>
        <w:autoSpaceDN/>
        <w:bidi w:val="0"/>
        <w:adjustRightInd/>
        <w:snapToGrid/>
        <w:spacing w:line="480" w:lineRule="exact"/>
        <w:jc w:val="left"/>
        <w:textAlignment w:val="auto"/>
        <w:rPr>
          <w:rFonts w:ascii="宋体" w:hAnsi="宋体" w:cs="宋体"/>
          <w:color w:val="171717"/>
          <w:kern w:val="0"/>
          <w:sz w:val="28"/>
          <w:szCs w:val="28"/>
        </w:rPr>
      </w:pPr>
      <w:r>
        <w:rPr>
          <w:rFonts w:ascii="宋体" w:hAnsi="宋体" w:cs="宋体"/>
          <w:color w:val="171717"/>
          <w:kern w:val="0"/>
          <w:sz w:val="28"/>
          <w:szCs w:val="28"/>
        </w:rPr>
        <w:t xml:space="preserve">上课时的指导性材料，而相关课件则是电子教案的有益补充，起到提炼知识和扩展知识面的作用。 </w:t>
      </w:r>
    </w:p>
    <w:p>
      <w:pPr>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ascii="宋体" w:hAnsi="宋体" w:cs="宋体"/>
          <w:color w:val="171717"/>
          <w:kern w:val="0"/>
          <w:sz w:val="28"/>
          <w:szCs w:val="28"/>
        </w:rPr>
      </w:pPr>
      <w:r>
        <w:rPr>
          <w:rFonts w:ascii="宋体" w:hAnsi="宋体" w:cs="宋体"/>
          <w:color w:val="171717"/>
          <w:kern w:val="0"/>
          <w:sz w:val="28"/>
          <w:szCs w:val="28"/>
        </w:rPr>
        <w:t xml:space="preserve">3.应用软件资源 </w:t>
      </w:r>
    </w:p>
    <w:p>
      <w:pPr>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ascii="宋体" w:hAnsi="宋体" w:cs="宋体"/>
          <w:color w:val="171717"/>
          <w:kern w:val="0"/>
          <w:sz w:val="28"/>
          <w:szCs w:val="28"/>
        </w:rPr>
      </w:pPr>
      <w:r>
        <w:rPr>
          <w:rFonts w:ascii="宋体" w:hAnsi="宋体" w:cs="宋体"/>
          <w:color w:val="171717"/>
          <w:kern w:val="0"/>
          <w:sz w:val="28"/>
          <w:szCs w:val="28"/>
        </w:rPr>
        <w:t>包含</w:t>
      </w:r>
      <w:r>
        <w:rPr>
          <w:rFonts w:hint="eastAsia" w:ascii="宋体" w:hAnsi="宋体" w:cs="宋体"/>
          <w:color w:val="171717"/>
          <w:kern w:val="0"/>
          <w:sz w:val="28"/>
          <w:szCs w:val="28"/>
        </w:rPr>
        <w:t>斯沃</w:t>
      </w:r>
      <w:r>
        <w:rPr>
          <w:rFonts w:ascii="宋体" w:hAnsi="宋体" w:cs="宋体"/>
          <w:color w:val="171717"/>
          <w:kern w:val="0"/>
          <w:sz w:val="28"/>
          <w:szCs w:val="28"/>
        </w:rPr>
        <w:t xml:space="preserve">数控仿真软件、CAXA制造工程师、CAXA数控车、MasterCAM、华中数控数据传输软件、工艺参数查询软件以及教师备课所用的PowerPoint 2003、Word 2003、Excel 2003等，它们都是数控教学不可缺少的应用软件。 </w:t>
      </w:r>
    </w:p>
    <w:p>
      <w:pPr>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ascii="宋体" w:hAnsi="宋体" w:cs="宋体"/>
          <w:color w:val="171717"/>
          <w:kern w:val="0"/>
          <w:sz w:val="28"/>
          <w:szCs w:val="28"/>
        </w:rPr>
      </w:pPr>
      <w:r>
        <w:rPr>
          <w:rFonts w:ascii="宋体" w:hAnsi="宋体" w:cs="宋体"/>
          <w:color w:val="171717"/>
          <w:kern w:val="0"/>
          <w:sz w:val="28"/>
          <w:szCs w:val="28"/>
        </w:rPr>
        <w:t>4.</w:t>
      </w:r>
      <w:r>
        <w:rPr>
          <w:rFonts w:hint="eastAsia" w:ascii="宋体" w:hAnsi="宋体" w:cs="宋体"/>
          <w:color w:val="171717"/>
          <w:kern w:val="0"/>
          <w:sz w:val="28"/>
          <w:szCs w:val="28"/>
        </w:rPr>
        <w:t>视</w:t>
      </w:r>
      <w:r>
        <w:rPr>
          <w:rFonts w:ascii="宋体" w:hAnsi="宋体" w:cs="宋体"/>
          <w:color w:val="171717"/>
          <w:kern w:val="0"/>
          <w:sz w:val="28"/>
          <w:szCs w:val="28"/>
        </w:rPr>
        <w:t xml:space="preserve">频动画教学学习资源 </w:t>
      </w:r>
    </w:p>
    <w:p>
      <w:pPr>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ascii="宋体" w:hAnsi="宋体" w:cs="宋体"/>
          <w:color w:val="171717"/>
          <w:kern w:val="0"/>
          <w:sz w:val="28"/>
          <w:szCs w:val="28"/>
        </w:rPr>
      </w:pPr>
      <w:r>
        <w:rPr>
          <w:rFonts w:ascii="宋体" w:hAnsi="宋体" w:cs="宋体"/>
          <w:color w:val="171717"/>
          <w:kern w:val="0"/>
          <w:sz w:val="28"/>
          <w:szCs w:val="28"/>
        </w:rPr>
        <w:t xml:space="preserve">包含一些视频讲座、视频教学、高技能人才故事、软件应用视频以及数控机床结构的动画讲解等，资源非常丰富，它们是现代课堂教学不可或缺的一部分。 </w:t>
      </w:r>
    </w:p>
    <w:p>
      <w:pPr>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ascii="宋体" w:hAnsi="宋体" w:cs="宋体"/>
          <w:color w:val="171717"/>
          <w:kern w:val="0"/>
          <w:sz w:val="28"/>
          <w:szCs w:val="28"/>
        </w:rPr>
      </w:pPr>
      <w:r>
        <w:rPr>
          <w:rFonts w:ascii="宋体" w:hAnsi="宋体" w:cs="宋体"/>
          <w:color w:val="171717"/>
          <w:kern w:val="0"/>
          <w:sz w:val="28"/>
          <w:szCs w:val="28"/>
        </w:rPr>
        <w:t>5.职业资格证资源</w:t>
      </w:r>
    </w:p>
    <w:p>
      <w:pPr>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ascii="宋体" w:hAnsi="宋体" w:cs="宋体"/>
          <w:color w:val="171717"/>
          <w:kern w:val="0"/>
          <w:sz w:val="28"/>
          <w:szCs w:val="28"/>
        </w:rPr>
      </w:pPr>
      <w:r>
        <w:rPr>
          <w:rFonts w:ascii="宋体" w:hAnsi="宋体" w:cs="宋体"/>
          <w:color w:val="171717"/>
          <w:kern w:val="0"/>
          <w:sz w:val="28"/>
          <w:szCs w:val="28"/>
        </w:rPr>
        <w:t xml:space="preserve">该资源库包含有数控车和数控铣中级资格证书的考试培训学习资料。还有国家数控中级资格证考试标准等内容。 </w:t>
      </w:r>
    </w:p>
    <w:p>
      <w:pPr>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cs="宋体"/>
          <w:color w:val="171717"/>
          <w:kern w:val="0"/>
          <w:sz w:val="28"/>
          <w:szCs w:val="28"/>
        </w:rPr>
      </w:pPr>
      <w:r>
        <w:rPr>
          <w:rFonts w:hint="eastAsia" w:ascii="宋体" w:hAnsi="宋体" w:cs="宋体"/>
          <w:color w:val="171717"/>
          <w:kern w:val="0"/>
          <w:sz w:val="28"/>
          <w:szCs w:val="28"/>
        </w:rPr>
        <w:t>6</w:t>
      </w:r>
      <w:r>
        <w:rPr>
          <w:rFonts w:ascii="宋体" w:hAnsi="宋体" w:cs="宋体"/>
          <w:color w:val="171717"/>
          <w:kern w:val="0"/>
          <w:sz w:val="28"/>
          <w:szCs w:val="28"/>
        </w:rPr>
        <w:t xml:space="preserve">.典型零件加工工艺资源 </w:t>
      </w:r>
    </w:p>
    <w:p>
      <w:pPr>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ascii="宋体" w:hAnsi="宋体" w:cs="宋体"/>
          <w:color w:val="171717"/>
          <w:kern w:val="0"/>
          <w:sz w:val="28"/>
          <w:szCs w:val="28"/>
        </w:rPr>
      </w:pPr>
      <w:r>
        <w:rPr>
          <w:rFonts w:ascii="宋体" w:hAnsi="宋体" w:cs="宋体"/>
          <w:color w:val="171717"/>
          <w:kern w:val="0"/>
          <w:sz w:val="28"/>
          <w:szCs w:val="28"/>
        </w:rPr>
        <w:t xml:space="preserve">数控加工技术主要分为数控车削和数控铣削技术，经过人们常年的积累，对不同类型零件的加工已经形成了固定的工艺，后续学习者只需理解这些工艺方法就能够很好的掌握数控加工常用的技术方法。 </w:t>
      </w:r>
    </w:p>
    <w:p>
      <w:pPr>
        <w:pageBreakBefore w:val="0"/>
        <w:kinsoku/>
        <w:wordWrap/>
        <w:overflowPunct/>
        <w:topLinePunct w:val="0"/>
        <w:autoSpaceDE/>
        <w:autoSpaceDN/>
        <w:bidi w:val="0"/>
        <w:adjustRightInd/>
        <w:snapToGrid/>
        <w:spacing w:line="480" w:lineRule="exact"/>
        <w:ind w:firstLine="562" w:firstLineChars="200"/>
        <w:jc w:val="left"/>
        <w:textAlignment w:val="auto"/>
        <w:rPr>
          <w:rFonts w:ascii="宋体" w:hAnsi="宋体" w:cs="宋体"/>
          <w:b/>
          <w:sz w:val="28"/>
          <w:szCs w:val="28"/>
        </w:rPr>
      </w:pPr>
      <w:r>
        <w:rPr>
          <w:rFonts w:hint="eastAsia" w:ascii="宋体" w:hAnsi="宋体" w:cs="宋体"/>
          <w:b/>
          <w:sz w:val="28"/>
          <w:szCs w:val="28"/>
        </w:rPr>
        <w:t>（四）教学方法</w:t>
      </w:r>
    </w:p>
    <w:p>
      <w:pPr>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ascii="宋体" w:hAnsi="宋体"/>
          <w:color w:val="000000"/>
          <w:sz w:val="28"/>
          <w:szCs w:val="28"/>
        </w:rPr>
      </w:pPr>
      <w:r>
        <w:rPr>
          <w:rFonts w:hint="eastAsia" w:ascii="宋体" w:hAnsi="宋体"/>
          <w:color w:val="000000"/>
          <w:sz w:val="28"/>
          <w:szCs w:val="28"/>
        </w:rPr>
        <w:t>教学过程中，以“项目驱动教学”作为主要教学方法同时，灵活穿插 “案例分析”、“项目教学”“情境教学”“模块化教学”、“讲练结合教学”、“多元互动教学”、“以赛促学”等多种教学方式。</w:t>
      </w:r>
    </w:p>
    <w:p>
      <w:pPr>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ascii="宋体" w:hAnsi="宋体"/>
          <w:color w:val="000000"/>
          <w:sz w:val="28"/>
          <w:szCs w:val="28"/>
        </w:rPr>
      </w:pPr>
      <w:r>
        <w:rPr>
          <w:rFonts w:hint="eastAsia" w:ascii="宋体" w:hAnsi="宋体"/>
          <w:color w:val="000000"/>
          <w:sz w:val="28"/>
          <w:szCs w:val="28"/>
        </w:rPr>
        <w:t>项目驱动教学法在数控教学的工作中已经得到了广泛的运用，并逐渐成为数控教学过程中重要的教学策略之一。教师可以通过以具体的项目为载体，引导学生自助思考解决实际问题，在具体项目的基础上建立起理论教学的平台，从而完成这门专业技术性较强的数控技术应用的教学工作。</w:t>
      </w:r>
    </w:p>
    <w:p>
      <w:pPr>
        <w:pageBreakBefore w:val="0"/>
        <w:widowControl/>
        <w:kinsoku/>
        <w:wordWrap/>
        <w:overflowPunct/>
        <w:topLinePunct w:val="0"/>
        <w:autoSpaceDE/>
        <w:autoSpaceDN/>
        <w:bidi w:val="0"/>
        <w:adjustRightInd/>
        <w:snapToGrid/>
        <w:spacing w:line="480" w:lineRule="exact"/>
        <w:jc w:val="left"/>
        <w:textAlignment w:val="auto"/>
        <w:rPr>
          <w:rFonts w:ascii="宋体" w:hAnsi="宋体"/>
          <w:color w:val="000000"/>
          <w:sz w:val="28"/>
          <w:szCs w:val="28"/>
        </w:rPr>
      </w:pPr>
      <w:r>
        <w:rPr>
          <w:rFonts w:hint="eastAsia" w:ascii="宋体" w:hAnsi="宋体"/>
          <w:color w:val="000000"/>
          <w:sz w:val="28"/>
          <w:szCs w:val="28"/>
        </w:rPr>
        <w:t>比如在数控铣床加工与编程这门课程中，学生被分成学习小组，针对教师准备进行数控加工的工件展开讨论，制定工件数控加工整个流程方案、具体的数据参数和加工过程编程，最后进行具体操作演示。随后针对于不同小组的方案结果进行总结讨论，分析其利弊所在，并选出最优的操作方案。通过以点及面的方法，根据具体的项目实践操作来完成具体的技能教学课程。在整个项目的研究操作过程中，学生通过自助思考讨论，能够很好地发挥他们的创造力和自助学习的能力，并能锻炼其动手实践能力。通过此种教学方式，学生自助解决问题和综合考虑分析问题的能力得到提升，为今后步入社会参加工作打下了良好的基础。</w:t>
      </w:r>
    </w:p>
    <w:p>
      <w:pPr>
        <w:pageBreakBefore w:val="0"/>
        <w:kinsoku/>
        <w:wordWrap/>
        <w:overflowPunct/>
        <w:topLinePunct w:val="0"/>
        <w:autoSpaceDE/>
        <w:autoSpaceDN/>
        <w:bidi w:val="0"/>
        <w:adjustRightInd/>
        <w:snapToGrid/>
        <w:spacing w:line="480" w:lineRule="exact"/>
        <w:ind w:firstLine="562" w:firstLineChars="200"/>
        <w:jc w:val="left"/>
        <w:textAlignment w:val="auto"/>
        <w:rPr>
          <w:rFonts w:ascii="宋体" w:hAnsi="宋体" w:cs="宋体"/>
          <w:b/>
          <w:sz w:val="28"/>
          <w:szCs w:val="28"/>
        </w:rPr>
      </w:pPr>
      <w:r>
        <w:rPr>
          <w:rFonts w:hint="eastAsia" w:ascii="宋体" w:hAnsi="宋体" w:cs="宋体"/>
          <w:b/>
          <w:sz w:val="28"/>
          <w:szCs w:val="28"/>
        </w:rPr>
        <w:t>（五）学习评价</w:t>
      </w:r>
    </w:p>
    <w:p>
      <w:pPr>
        <w:pageBreakBefore w:val="0"/>
        <w:kinsoku/>
        <w:wordWrap/>
        <w:overflowPunct/>
        <w:topLinePunct w:val="0"/>
        <w:autoSpaceDE/>
        <w:autoSpaceDN/>
        <w:bidi w:val="0"/>
        <w:adjustRightInd/>
        <w:snapToGrid/>
        <w:spacing w:line="480" w:lineRule="exact"/>
        <w:ind w:firstLine="560" w:firstLineChars="200"/>
        <w:jc w:val="left"/>
        <w:textAlignment w:val="auto"/>
        <w:rPr>
          <w:rFonts w:ascii="宋体" w:hAnsi="宋体"/>
          <w:color w:val="000000"/>
          <w:sz w:val="28"/>
          <w:szCs w:val="28"/>
        </w:rPr>
      </w:pPr>
      <w:r>
        <w:rPr>
          <w:rFonts w:hint="eastAsia" w:ascii="宋体" w:hAnsi="宋体"/>
          <w:color w:val="000000"/>
          <w:sz w:val="28"/>
          <w:szCs w:val="28"/>
        </w:rPr>
        <w:t>积极推进教学质量评价改革，健全多元化考核评价体系，突出能力考核评价方式，建立体现评价主体、评价方式、评价过程的多元化评价体系，积极吸纳企业、社会、家长参与学生的考核评价，通过多样式的考核方式，实现对学生专业技能和职业素养的综合评价，激发学生自主性学习，鼓励学生的个性发展以及培养其创新意识和创造能力。</w:t>
      </w:r>
    </w:p>
    <w:p>
      <w:pPr>
        <w:pageBreakBefore w:val="0"/>
        <w:kinsoku/>
        <w:wordWrap/>
        <w:overflowPunct/>
        <w:topLinePunct w:val="0"/>
        <w:autoSpaceDE/>
        <w:autoSpaceDN/>
        <w:bidi w:val="0"/>
        <w:adjustRightInd/>
        <w:snapToGrid/>
        <w:spacing w:line="480" w:lineRule="exact"/>
        <w:ind w:firstLine="562" w:firstLineChars="200"/>
        <w:jc w:val="left"/>
        <w:textAlignment w:val="auto"/>
        <w:rPr>
          <w:rFonts w:ascii="宋体" w:hAnsi="宋体"/>
          <w:b/>
          <w:bCs/>
          <w:color w:val="000000"/>
          <w:sz w:val="28"/>
          <w:szCs w:val="28"/>
        </w:rPr>
      </w:pPr>
      <w:r>
        <w:rPr>
          <w:rFonts w:hint="eastAsia" w:ascii="宋体" w:hAnsi="宋体"/>
          <w:b/>
          <w:bCs/>
          <w:color w:val="000000"/>
          <w:sz w:val="28"/>
          <w:szCs w:val="28"/>
        </w:rPr>
        <w:t>1.评价主体多元化</w:t>
      </w:r>
    </w:p>
    <w:p>
      <w:pPr>
        <w:pageBreakBefore w:val="0"/>
        <w:kinsoku/>
        <w:wordWrap/>
        <w:overflowPunct/>
        <w:topLinePunct w:val="0"/>
        <w:autoSpaceDE/>
        <w:autoSpaceDN/>
        <w:bidi w:val="0"/>
        <w:adjustRightInd/>
        <w:snapToGrid/>
        <w:spacing w:line="480" w:lineRule="exact"/>
        <w:ind w:firstLine="560" w:firstLineChars="200"/>
        <w:jc w:val="left"/>
        <w:textAlignment w:val="auto"/>
        <w:rPr>
          <w:rFonts w:ascii="宋体" w:hAnsi="宋体"/>
          <w:color w:val="000000"/>
          <w:sz w:val="28"/>
          <w:szCs w:val="28"/>
        </w:rPr>
      </w:pPr>
      <w:r>
        <w:rPr>
          <w:rFonts w:hint="eastAsia" w:ascii="宋体" w:hAnsi="宋体"/>
          <w:color w:val="000000"/>
          <w:sz w:val="28"/>
          <w:szCs w:val="28"/>
        </w:rPr>
        <w:t>由单一的教师评价转化为学生自评、组员互评、教师评价、企业评价、社会评价、家长评价等。</w:t>
      </w:r>
    </w:p>
    <w:p>
      <w:pPr>
        <w:pageBreakBefore w:val="0"/>
        <w:kinsoku/>
        <w:wordWrap/>
        <w:overflowPunct/>
        <w:topLinePunct w:val="0"/>
        <w:autoSpaceDE/>
        <w:autoSpaceDN/>
        <w:bidi w:val="0"/>
        <w:adjustRightInd/>
        <w:snapToGrid/>
        <w:spacing w:line="480" w:lineRule="exact"/>
        <w:ind w:firstLine="562" w:firstLineChars="200"/>
        <w:jc w:val="left"/>
        <w:textAlignment w:val="auto"/>
        <w:rPr>
          <w:rFonts w:ascii="宋体" w:hAnsi="宋体"/>
          <w:b/>
          <w:bCs/>
          <w:color w:val="000000"/>
          <w:sz w:val="28"/>
          <w:szCs w:val="28"/>
        </w:rPr>
      </w:pPr>
      <w:r>
        <w:rPr>
          <w:rFonts w:hint="eastAsia" w:ascii="宋体" w:hAnsi="宋体"/>
          <w:b/>
          <w:bCs/>
          <w:color w:val="000000"/>
          <w:sz w:val="28"/>
          <w:szCs w:val="28"/>
        </w:rPr>
        <w:t>2.评价方式多元化</w:t>
      </w:r>
    </w:p>
    <w:p>
      <w:pPr>
        <w:pageBreakBefore w:val="0"/>
        <w:kinsoku/>
        <w:wordWrap/>
        <w:overflowPunct/>
        <w:topLinePunct w:val="0"/>
        <w:autoSpaceDE/>
        <w:autoSpaceDN/>
        <w:bidi w:val="0"/>
        <w:adjustRightInd/>
        <w:snapToGrid/>
        <w:spacing w:line="480" w:lineRule="exact"/>
        <w:ind w:firstLine="560" w:firstLineChars="200"/>
        <w:jc w:val="left"/>
        <w:textAlignment w:val="auto"/>
        <w:rPr>
          <w:rFonts w:ascii="宋体" w:hAnsi="宋体"/>
          <w:color w:val="000000"/>
          <w:sz w:val="28"/>
          <w:szCs w:val="28"/>
        </w:rPr>
      </w:pPr>
      <w:r>
        <w:rPr>
          <w:rFonts w:hint="eastAsia" w:ascii="宋体" w:hAnsi="宋体"/>
          <w:color w:val="000000"/>
          <w:sz w:val="28"/>
          <w:szCs w:val="28"/>
        </w:rPr>
        <w:t>由单一的考试评价转化为笔试、实践技能考核、职业资格鉴定、技能竞赛等多种方式相结合。由注重终结性评价转变为过程评价和终结性评价相结合，注重实践性引导，过程评价以鼓励为主。</w:t>
      </w:r>
    </w:p>
    <w:p>
      <w:pPr>
        <w:pageBreakBefore w:val="0"/>
        <w:kinsoku/>
        <w:wordWrap/>
        <w:overflowPunct/>
        <w:topLinePunct w:val="0"/>
        <w:autoSpaceDE/>
        <w:autoSpaceDN/>
        <w:bidi w:val="0"/>
        <w:adjustRightInd/>
        <w:snapToGrid/>
        <w:spacing w:line="480" w:lineRule="exact"/>
        <w:ind w:firstLine="560" w:firstLineChars="200"/>
        <w:jc w:val="left"/>
        <w:textAlignment w:val="auto"/>
        <w:rPr>
          <w:rFonts w:ascii="宋体" w:hAnsi="宋体"/>
          <w:color w:val="000000"/>
          <w:sz w:val="28"/>
          <w:szCs w:val="28"/>
        </w:rPr>
      </w:pPr>
      <w:r>
        <w:rPr>
          <w:rFonts w:hint="eastAsia" w:ascii="宋体" w:hAnsi="宋体"/>
          <w:color w:val="000000"/>
          <w:sz w:val="28"/>
          <w:szCs w:val="28"/>
        </w:rPr>
        <w:t>（1）笔试：适用于理论性比较强的课程。考核成绩采用百分制，该门课程不合格，不能取得相应学分。</w:t>
      </w:r>
    </w:p>
    <w:p>
      <w:pPr>
        <w:pageBreakBefore w:val="0"/>
        <w:kinsoku/>
        <w:wordWrap/>
        <w:overflowPunct/>
        <w:topLinePunct w:val="0"/>
        <w:autoSpaceDE/>
        <w:autoSpaceDN/>
        <w:bidi w:val="0"/>
        <w:adjustRightInd/>
        <w:snapToGrid/>
        <w:spacing w:line="480" w:lineRule="exact"/>
        <w:ind w:firstLine="560" w:firstLineChars="200"/>
        <w:jc w:val="left"/>
        <w:textAlignment w:val="auto"/>
        <w:rPr>
          <w:rFonts w:ascii="宋体" w:hAnsi="宋体"/>
          <w:color w:val="000000"/>
          <w:sz w:val="28"/>
          <w:szCs w:val="28"/>
        </w:rPr>
      </w:pPr>
      <w:r>
        <w:rPr>
          <w:rFonts w:hint="eastAsia" w:ascii="宋体" w:hAnsi="宋体"/>
          <w:color w:val="000000"/>
          <w:sz w:val="28"/>
          <w:szCs w:val="28"/>
        </w:rPr>
        <w:t>（2）实践技能考核：适用于实践性比较强的课程。实践技能考核应根据教学目标要求，确定主要考核项目。</w:t>
      </w:r>
    </w:p>
    <w:p>
      <w:pPr>
        <w:pageBreakBefore w:val="0"/>
        <w:kinsoku/>
        <w:wordWrap/>
        <w:overflowPunct/>
        <w:topLinePunct w:val="0"/>
        <w:autoSpaceDE/>
        <w:autoSpaceDN/>
        <w:bidi w:val="0"/>
        <w:adjustRightInd/>
        <w:snapToGrid/>
        <w:spacing w:line="480" w:lineRule="exact"/>
        <w:ind w:firstLine="560" w:firstLineChars="200"/>
        <w:jc w:val="left"/>
        <w:textAlignment w:val="auto"/>
        <w:rPr>
          <w:rFonts w:ascii="宋体" w:hAnsi="宋体"/>
          <w:color w:val="000000"/>
          <w:sz w:val="28"/>
          <w:szCs w:val="28"/>
        </w:rPr>
      </w:pPr>
      <w:r>
        <w:rPr>
          <w:rFonts w:hint="eastAsia" w:ascii="宋体" w:hAnsi="宋体"/>
          <w:color w:val="000000"/>
          <w:sz w:val="28"/>
          <w:szCs w:val="28"/>
        </w:rPr>
        <w:t>（3）项目实施技能考核：综合实训主要是通过项目开展的，考核旨在评价学生综合专业技能掌握的情况及工作态度及团队合作能力，因而通常采取项目实施过程考核与实践技能考核相结合进行综合评价。</w:t>
      </w:r>
    </w:p>
    <w:p>
      <w:pPr>
        <w:pageBreakBefore w:val="0"/>
        <w:kinsoku/>
        <w:wordWrap/>
        <w:overflowPunct/>
        <w:topLinePunct w:val="0"/>
        <w:autoSpaceDE/>
        <w:autoSpaceDN/>
        <w:bidi w:val="0"/>
        <w:adjustRightInd/>
        <w:snapToGrid/>
        <w:spacing w:line="480" w:lineRule="exact"/>
        <w:ind w:firstLine="560" w:firstLineChars="200"/>
        <w:jc w:val="left"/>
        <w:textAlignment w:val="auto"/>
        <w:rPr>
          <w:rFonts w:ascii="宋体" w:hAnsi="宋体"/>
          <w:color w:val="000000"/>
          <w:sz w:val="28"/>
          <w:szCs w:val="28"/>
        </w:rPr>
      </w:pPr>
      <w:r>
        <w:rPr>
          <w:rFonts w:hint="eastAsia" w:ascii="宋体" w:hAnsi="宋体"/>
          <w:color w:val="000000"/>
          <w:sz w:val="28"/>
          <w:szCs w:val="28"/>
        </w:rPr>
        <w:t>（4）岗位绩效考核：在企业中开设的课程，如顶岗实习等，由企业与学校进行共同考核，企业考核主要以企业对学生的岗位工作执行情况进行绩效考核。</w:t>
      </w:r>
    </w:p>
    <w:p>
      <w:pPr>
        <w:pageBreakBefore w:val="0"/>
        <w:kinsoku/>
        <w:wordWrap/>
        <w:overflowPunct/>
        <w:topLinePunct w:val="0"/>
        <w:autoSpaceDE/>
        <w:autoSpaceDN/>
        <w:bidi w:val="0"/>
        <w:adjustRightInd/>
        <w:snapToGrid/>
        <w:spacing w:line="480" w:lineRule="exact"/>
        <w:ind w:firstLine="560" w:firstLineChars="200"/>
        <w:jc w:val="left"/>
        <w:textAlignment w:val="auto"/>
        <w:rPr>
          <w:rFonts w:ascii="宋体" w:hAnsi="宋体"/>
          <w:color w:val="000000"/>
          <w:sz w:val="28"/>
          <w:szCs w:val="28"/>
        </w:rPr>
      </w:pPr>
      <w:r>
        <w:rPr>
          <w:rFonts w:hint="eastAsia" w:ascii="宋体" w:hAnsi="宋体"/>
          <w:color w:val="000000"/>
          <w:sz w:val="28"/>
          <w:szCs w:val="28"/>
        </w:rPr>
        <w:t>（5）职业资格技能鉴定：本专业引入了职业资格鉴定来评价学生的职业能力，学生参加职业资格认证考核，获得的认证作为学生评价标准。</w:t>
      </w:r>
    </w:p>
    <w:p>
      <w:pPr>
        <w:pageBreakBefore w:val="0"/>
        <w:kinsoku/>
        <w:wordWrap/>
        <w:overflowPunct/>
        <w:topLinePunct w:val="0"/>
        <w:autoSpaceDE/>
        <w:autoSpaceDN/>
        <w:bidi w:val="0"/>
        <w:adjustRightInd/>
        <w:snapToGrid/>
        <w:spacing w:line="480" w:lineRule="exact"/>
        <w:ind w:firstLine="560" w:firstLineChars="200"/>
        <w:jc w:val="left"/>
        <w:textAlignment w:val="auto"/>
        <w:rPr>
          <w:rFonts w:ascii="宋体" w:hAnsi="宋体"/>
          <w:color w:val="000000"/>
          <w:sz w:val="28"/>
          <w:szCs w:val="28"/>
        </w:rPr>
      </w:pPr>
      <w:r>
        <w:rPr>
          <w:rFonts w:hint="eastAsia" w:ascii="宋体" w:hAnsi="宋体"/>
          <w:color w:val="000000"/>
          <w:sz w:val="28"/>
          <w:szCs w:val="28"/>
        </w:rPr>
        <w:t>（6）技能竞赛：积极参加福建省、莆田市及学校组织的各项专业技能竞赛，根据竞赛所取得的成绩作为学生评价标准。</w:t>
      </w:r>
    </w:p>
    <w:p>
      <w:pPr>
        <w:pageBreakBefore w:val="0"/>
        <w:kinsoku/>
        <w:wordWrap/>
        <w:overflowPunct/>
        <w:topLinePunct w:val="0"/>
        <w:autoSpaceDE/>
        <w:autoSpaceDN/>
        <w:bidi w:val="0"/>
        <w:adjustRightInd/>
        <w:snapToGrid/>
        <w:spacing w:line="480" w:lineRule="exact"/>
        <w:ind w:firstLine="560" w:firstLineChars="200"/>
        <w:jc w:val="left"/>
        <w:textAlignment w:val="auto"/>
        <w:rPr>
          <w:rFonts w:ascii="宋体" w:hAnsi="宋体"/>
          <w:color w:val="000000"/>
          <w:sz w:val="28"/>
          <w:szCs w:val="28"/>
        </w:rPr>
      </w:pPr>
      <w:r>
        <w:rPr>
          <w:rFonts w:hint="eastAsia" w:ascii="宋体" w:hAnsi="宋体"/>
          <w:color w:val="000000"/>
          <w:sz w:val="28"/>
          <w:szCs w:val="28"/>
        </w:rPr>
        <w:t>3.评价过程多元化</w:t>
      </w:r>
    </w:p>
    <w:p>
      <w:pPr>
        <w:pageBreakBefore w:val="0"/>
        <w:kinsoku/>
        <w:wordWrap/>
        <w:overflowPunct/>
        <w:topLinePunct w:val="0"/>
        <w:autoSpaceDE/>
        <w:autoSpaceDN/>
        <w:bidi w:val="0"/>
        <w:adjustRightInd/>
        <w:snapToGrid/>
        <w:spacing w:line="480" w:lineRule="exact"/>
        <w:ind w:firstLine="560" w:firstLineChars="200"/>
        <w:jc w:val="left"/>
        <w:textAlignment w:val="auto"/>
        <w:rPr>
          <w:rFonts w:ascii="宋体" w:hAnsi="宋体"/>
          <w:color w:val="000000"/>
          <w:sz w:val="28"/>
          <w:szCs w:val="28"/>
        </w:rPr>
      </w:pPr>
      <w:r>
        <w:rPr>
          <w:rFonts w:hint="eastAsia" w:ascii="宋体" w:hAnsi="宋体"/>
          <w:color w:val="000000"/>
          <w:sz w:val="28"/>
          <w:szCs w:val="28"/>
        </w:rPr>
        <w:t>应该由原先只注重知识评价的局面转变为知识、技能、态度并重。特别指出，态度评价应引导学生形成良好的职业精神。</w:t>
      </w:r>
    </w:p>
    <w:p>
      <w:pPr>
        <w:pageBreakBefore w:val="0"/>
        <w:kinsoku/>
        <w:wordWrap/>
        <w:overflowPunct/>
        <w:topLinePunct w:val="0"/>
        <w:autoSpaceDE/>
        <w:autoSpaceDN/>
        <w:bidi w:val="0"/>
        <w:adjustRightInd/>
        <w:snapToGrid/>
        <w:spacing w:line="480" w:lineRule="exact"/>
        <w:ind w:firstLine="562" w:firstLineChars="200"/>
        <w:jc w:val="left"/>
        <w:textAlignment w:val="auto"/>
        <w:rPr>
          <w:rFonts w:ascii="宋体" w:hAnsi="宋体" w:cs="宋体"/>
          <w:b/>
          <w:sz w:val="28"/>
          <w:szCs w:val="28"/>
        </w:rPr>
      </w:pPr>
      <w:r>
        <w:rPr>
          <w:rFonts w:hint="eastAsia" w:ascii="宋体" w:hAnsi="宋体" w:cs="宋体"/>
          <w:b/>
          <w:sz w:val="28"/>
          <w:szCs w:val="28"/>
        </w:rPr>
        <w:t>（六）质量管理</w:t>
      </w:r>
    </w:p>
    <w:p>
      <w:pPr>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ascii="宋体" w:hAnsi="宋体" w:cs="宋体"/>
          <w:color w:val="171717"/>
          <w:kern w:val="0"/>
          <w:sz w:val="28"/>
          <w:szCs w:val="28"/>
        </w:rPr>
      </w:pPr>
      <w:r>
        <w:rPr>
          <w:rFonts w:hint="eastAsia" w:ascii="宋体" w:hAnsi="宋体" w:cs="宋体"/>
          <w:color w:val="171717"/>
          <w:kern w:val="0"/>
          <w:sz w:val="28"/>
          <w:szCs w:val="28"/>
        </w:rPr>
        <w:t>教学管理要更新观念，改变传统的教学管理方式。教学管理要有一定的规范性和灵活性，可实行工学交替等弹性学制。要合理调配专业教师、专业实训场地等教学资源，结合实际落实专业教学标准，为课程的实施创造重要条件；要加强对教学过程的质量监控，改革教学评论的标准和方法，促进教师教学能力的提升，保证教学质量。建立由行业企业专家、教科研人员、一线教师、学生（毕业生）代表组成的专业建设指导委员会，定期修订人才培养方案。加强制度建设，逐步建立科学的教学管理机制，提高教学质量。</w:t>
      </w:r>
    </w:p>
    <w:p>
      <w:pPr>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ascii="宋体" w:hAnsi="宋体" w:cs="宋体"/>
          <w:color w:val="171717"/>
          <w:kern w:val="0"/>
          <w:sz w:val="28"/>
          <w:szCs w:val="28"/>
        </w:rPr>
      </w:pPr>
      <w:r>
        <w:rPr>
          <w:rFonts w:hint="eastAsia" w:ascii="宋体" w:hAnsi="宋体" w:cs="宋体"/>
          <w:color w:val="171717"/>
          <w:kern w:val="0"/>
          <w:sz w:val="28"/>
          <w:szCs w:val="28"/>
        </w:rPr>
        <w:t>加强质量管理体系建设，重视过程监控，逐步完善以学校为核心、教育行政部门为主导，社会和企业积极参与的教学质量保障体系。重点是配合人才培养模式和工作过程系统化课程体系，创建以能力为核心、以过程为重点的学习绩效考核评价体系。在构建评价指标体系的过程中，要深入企业，对本专业所对应的职业岗位职责及知识、能力和技能要求进行细致的调研与分析，分解知识与能力的考核要素，吸纳用人单位专家参与教学质量评价，确保学生职业能力培养的质量。</w:t>
      </w:r>
    </w:p>
    <w:p>
      <w:pPr>
        <w:pStyle w:val="3"/>
        <w:pageBreakBefore w:val="0"/>
        <w:kinsoku/>
        <w:wordWrap/>
        <w:overflowPunct/>
        <w:topLinePunct w:val="0"/>
        <w:autoSpaceDE/>
        <w:autoSpaceDN/>
        <w:bidi w:val="0"/>
        <w:adjustRightInd/>
        <w:snapToGrid/>
        <w:spacing w:after="0" w:line="480" w:lineRule="exact"/>
        <w:ind w:firstLine="562" w:firstLineChars="200"/>
        <w:jc w:val="left"/>
        <w:textAlignment w:val="auto"/>
        <w:outlineLvl w:val="0"/>
        <w:rPr>
          <w:rFonts w:ascii="黑体" w:hAnsi="黑体" w:eastAsia="黑体"/>
          <w:b/>
          <w:bCs w:val="0"/>
          <w:sz w:val="28"/>
          <w:szCs w:val="28"/>
        </w:rPr>
      </w:pPr>
      <w:bookmarkStart w:id="12" w:name="_Toc14055"/>
      <w:r>
        <w:rPr>
          <w:rFonts w:hint="eastAsia" w:ascii="黑体" w:hAnsi="黑体" w:eastAsia="黑体"/>
          <w:b/>
          <w:bCs w:val="0"/>
          <w:sz w:val="28"/>
          <w:szCs w:val="28"/>
        </w:rPr>
        <w:t>九、毕业要求</w:t>
      </w:r>
      <w:bookmarkEnd w:id="12"/>
    </w:p>
    <w:p>
      <w:pPr>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ascii="宋体" w:hAnsi="宋体"/>
          <w:sz w:val="28"/>
          <w:szCs w:val="28"/>
        </w:rPr>
      </w:pPr>
      <w:r>
        <w:rPr>
          <w:rFonts w:ascii="宋体" w:hAnsi="宋体"/>
          <w:sz w:val="28"/>
          <w:szCs w:val="28"/>
        </w:rPr>
        <w:t>毕业要求，是对专业学生毕业时所应具有的素质、知识、能力达成度检验的标准。</w:t>
      </w:r>
      <w:r>
        <w:rPr>
          <w:rFonts w:hint="eastAsia" w:ascii="宋体" w:hAnsi="宋体"/>
          <w:sz w:val="28"/>
          <w:szCs w:val="28"/>
        </w:rPr>
        <w:t>以下</w:t>
      </w:r>
      <w:r>
        <w:rPr>
          <w:rFonts w:ascii="宋体" w:hAnsi="宋体"/>
          <w:sz w:val="28"/>
          <w:szCs w:val="28"/>
        </w:rPr>
        <w:t>毕业要求</w:t>
      </w:r>
      <w:r>
        <w:rPr>
          <w:rFonts w:hint="eastAsia" w:ascii="宋体" w:hAnsi="宋体"/>
          <w:sz w:val="28"/>
          <w:szCs w:val="28"/>
        </w:rPr>
        <w:t>是</w:t>
      </w:r>
      <w:r>
        <w:rPr>
          <w:rFonts w:ascii="宋体" w:hAnsi="宋体"/>
          <w:sz w:val="28"/>
          <w:szCs w:val="28"/>
        </w:rPr>
        <w:t>依照教育部颁布的《专业教学标准》</w:t>
      </w:r>
      <w:r>
        <w:rPr>
          <w:rFonts w:hint="eastAsia" w:ascii="宋体" w:hAnsi="宋体"/>
          <w:sz w:val="28"/>
          <w:szCs w:val="28"/>
        </w:rPr>
        <w:t>及莆田市教育局和我校</w:t>
      </w:r>
      <w:r>
        <w:rPr>
          <w:rFonts w:ascii="宋体" w:hAnsi="宋体"/>
          <w:sz w:val="28"/>
          <w:szCs w:val="28"/>
        </w:rPr>
        <w:t>专业自身特点制定</w:t>
      </w:r>
      <w:r>
        <w:rPr>
          <w:rFonts w:hint="eastAsia" w:ascii="宋体" w:hAnsi="宋体"/>
          <w:sz w:val="28"/>
          <w:szCs w:val="28"/>
        </w:rPr>
        <w:t>的</w:t>
      </w:r>
      <w:r>
        <w:rPr>
          <w:rFonts w:ascii="宋体" w:hAnsi="宋体"/>
          <w:sz w:val="28"/>
          <w:szCs w:val="28"/>
        </w:rPr>
        <w:t>，能够支撑该专业培养目标的达成。</w:t>
      </w:r>
      <w:r>
        <w:rPr>
          <w:rFonts w:hint="eastAsia" w:ascii="宋体" w:hAnsi="宋体"/>
          <w:sz w:val="28"/>
          <w:szCs w:val="28"/>
        </w:rPr>
        <w:t>本</w:t>
      </w:r>
      <w:r>
        <w:rPr>
          <w:rFonts w:ascii="宋体" w:hAnsi="宋体"/>
          <w:sz w:val="28"/>
          <w:szCs w:val="28"/>
        </w:rPr>
        <w:t>专业毕业要求既是实现培养目标的保证，又是专业构建素质、知识、能力结构，形成课程体系和开展教学活动的基本依据。所以，本专业的毕业要求</w:t>
      </w:r>
      <w:r>
        <w:rPr>
          <w:rFonts w:hint="eastAsia" w:ascii="宋体" w:hAnsi="宋体"/>
          <w:sz w:val="28"/>
          <w:szCs w:val="28"/>
        </w:rPr>
        <w:t>各项目可</w:t>
      </w:r>
      <w:r>
        <w:rPr>
          <w:rFonts w:ascii="宋体" w:hAnsi="宋体"/>
          <w:sz w:val="28"/>
          <w:szCs w:val="28"/>
        </w:rPr>
        <w:t>细化为可落实、可评价、有逻辑性和专业特点的指标点，</w:t>
      </w:r>
      <w:r>
        <w:rPr>
          <w:rFonts w:hint="eastAsia" w:ascii="宋体" w:hAnsi="宋体"/>
          <w:sz w:val="28"/>
          <w:szCs w:val="28"/>
        </w:rPr>
        <w:t>能</w:t>
      </w:r>
      <w:r>
        <w:rPr>
          <w:rFonts w:ascii="宋体" w:hAnsi="宋体"/>
          <w:sz w:val="28"/>
          <w:szCs w:val="28"/>
        </w:rPr>
        <w:t>引导教师有针对性地教学，引导学生有目的地学习。</w:t>
      </w:r>
    </w:p>
    <w:p>
      <w:pPr>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sz w:val="28"/>
          <w:szCs w:val="28"/>
        </w:rPr>
      </w:pPr>
      <w:r>
        <w:rPr>
          <w:rFonts w:hint="eastAsia" w:ascii="宋体" w:hAnsi="宋体"/>
          <w:sz w:val="28"/>
          <w:szCs w:val="28"/>
        </w:rPr>
        <w:t>各项目要求指标如下表所示：</w:t>
      </w:r>
    </w:p>
    <w:tbl>
      <w:tblPr>
        <w:tblStyle w:val="9"/>
        <w:tblW w:w="9054" w:type="dxa"/>
        <w:tblInd w:w="93" w:type="dxa"/>
        <w:tblLayout w:type="fixed"/>
        <w:tblCellMar>
          <w:top w:w="0" w:type="dxa"/>
          <w:left w:w="108" w:type="dxa"/>
          <w:bottom w:w="0" w:type="dxa"/>
          <w:right w:w="108" w:type="dxa"/>
        </w:tblCellMar>
      </w:tblPr>
      <w:tblGrid>
        <w:gridCol w:w="1080"/>
        <w:gridCol w:w="7974"/>
      </w:tblGrid>
      <w:tr>
        <w:tblPrEx>
          <w:tblCellMar>
            <w:top w:w="0" w:type="dxa"/>
            <w:left w:w="108" w:type="dxa"/>
            <w:bottom w:w="0" w:type="dxa"/>
            <w:right w:w="108" w:type="dxa"/>
          </w:tblCellMar>
        </w:tblPrEx>
        <w:trPr>
          <w:trHeight w:val="831" w:hRule="atLeast"/>
        </w:trPr>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7974" w:type="dxa"/>
            <w:tcBorders>
              <w:top w:val="single" w:color="auto" w:sz="8" w:space="0"/>
              <w:left w:val="nil"/>
              <w:bottom w:val="single" w:color="auto" w:sz="8" w:space="0"/>
              <w:right w:val="single" w:color="auto" w:sz="8" w:space="0"/>
            </w:tcBorders>
            <w:noWrap w:val="0"/>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项  目  要  求</w:t>
            </w:r>
          </w:p>
        </w:tc>
      </w:tr>
      <w:tr>
        <w:tblPrEx>
          <w:tblCellMar>
            <w:top w:w="0" w:type="dxa"/>
            <w:left w:w="108" w:type="dxa"/>
            <w:bottom w:w="0" w:type="dxa"/>
            <w:right w:w="108" w:type="dxa"/>
          </w:tblCellMar>
        </w:tblPrEx>
        <w:trPr>
          <w:trHeight w:val="831" w:hRule="atLeast"/>
        </w:trPr>
        <w:tc>
          <w:tcPr>
            <w:tcW w:w="1080" w:type="dxa"/>
            <w:tcBorders>
              <w:top w:val="nil"/>
              <w:left w:val="single" w:color="auto" w:sz="8" w:space="0"/>
              <w:bottom w:val="single" w:color="auto" w:sz="8" w:space="0"/>
              <w:right w:val="single" w:color="auto" w:sz="8"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7974" w:type="dxa"/>
            <w:tcBorders>
              <w:top w:val="nil"/>
              <w:left w:val="nil"/>
              <w:bottom w:val="single" w:color="auto" w:sz="8" w:space="0"/>
              <w:right w:val="single" w:color="auto" w:sz="8" w:space="0"/>
            </w:tcBorders>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按学校规定参加入学训练并得到相应的2学分</w:t>
            </w:r>
          </w:p>
        </w:tc>
      </w:tr>
      <w:tr>
        <w:tblPrEx>
          <w:tblCellMar>
            <w:top w:w="0" w:type="dxa"/>
            <w:left w:w="108" w:type="dxa"/>
            <w:bottom w:w="0" w:type="dxa"/>
            <w:right w:w="108" w:type="dxa"/>
          </w:tblCellMar>
        </w:tblPrEx>
        <w:trPr>
          <w:trHeight w:val="831" w:hRule="atLeast"/>
        </w:trPr>
        <w:tc>
          <w:tcPr>
            <w:tcW w:w="1080" w:type="dxa"/>
            <w:tcBorders>
              <w:top w:val="nil"/>
              <w:left w:val="single" w:color="auto" w:sz="8" w:space="0"/>
              <w:bottom w:val="single" w:color="auto" w:sz="8" w:space="0"/>
              <w:right w:val="single" w:color="auto" w:sz="8"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7974" w:type="dxa"/>
            <w:tcBorders>
              <w:top w:val="nil"/>
              <w:left w:val="nil"/>
              <w:bottom w:val="single" w:color="auto" w:sz="8" w:space="0"/>
              <w:right w:val="single" w:color="auto" w:sz="8" w:space="0"/>
            </w:tcBorders>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按学校要求参加劳动并得到相应的3学分</w:t>
            </w:r>
          </w:p>
        </w:tc>
      </w:tr>
      <w:tr>
        <w:tblPrEx>
          <w:tblCellMar>
            <w:top w:w="0" w:type="dxa"/>
            <w:left w:w="108" w:type="dxa"/>
            <w:bottom w:w="0" w:type="dxa"/>
            <w:right w:w="108" w:type="dxa"/>
          </w:tblCellMar>
        </w:tblPrEx>
        <w:trPr>
          <w:trHeight w:val="831" w:hRule="atLeast"/>
        </w:trPr>
        <w:tc>
          <w:tcPr>
            <w:tcW w:w="1080" w:type="dxa"/>
            <w:tcBorders>
              <w:top w:val="nil"/>
              <w:left w:val="single" w:color="auto" w:sz="8" w:space="0"/>
              <w:bottom w:val="single" w:color="auto" w:sz="8" w:space="0"/>
              <w:right w:val="single" w:color="auto" w:sz="8"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7974" w:type="dxa"/>
            <w:tcBorders>
              <w:top w:val="nil"/>
              <w:left w:val="nil"/>
              <w:bottom w:val="single" w:color="auto" w:sz="8" w:space="0"/>
              <w:right w:val="single" w:color="auto" w:sz="8" w:space="0"/>
            </w:tcBorders>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在学期间参加不少于3次的志愿者服务活动</w:t>
            </w:r>
          </w:p>
        </w:tc>
      </w:tr>
      <w:tr>
        <w:tblPrEx>
          <w:tblCellMar>
            <w:top w:w="0" w:type="dxa"/>
            <w:left w:w="108" w:type="dxa"/>
            <w:bottom w:w="0" w:type="dxa"/>
            <w:right w:w="108" w:type="dxa"/>
          </w:tblCellMar>
        </w:tblPrEx>
        <w:trPr>
          <w:trHeight w:val="831" w:hRule="atLeast"/>
        </w:trPr>
        <w:tc>
          <w:tcPr>
            <w:tcW w:w="1080" w:type="dxa"/>
            <w:tcBorders>
              <w:top w:val="nil"/>
              <w:left w:val="single" w:color="auto" w:sz="8" w:space="0"/>
              <w:bottom w:val="single" w:color="auto" w:sz="8" w:space="0"/>
              <w:right w:val="single" w:color="auto" w:sz="8"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7974" w:type="dxa"/>
            <w:tcBorders>
              <w:top w:val="nil"/>
              <w:left w:val="nil"/>
              <w:bottom w:val="single" w:color="auto" w:sz="8" w:space="0"/>
              <w:right w:val="single" w:color="auto" w:sz="8" w:space="0"/>
            </w:tcBorders>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完成福建省中职学生学业水平合格性考试成绩达到D级及以上，或在学校组织的补考中达到60分及以上。</w:t>
            </w:r>
          </w:p>
        </w:tc>
      </w:tr>
      <w:tr>
        <w:tblPrEx>
          <w:tblCellMar>
            <w:top w:w="0" w:type="dxa"/>
            <w:left w:w="108" w:type="dxa"/>
            <w:bottom w:w="0" w:type="dxa"/>
            <w:right w:w="108" w:type="dxa"/>
          </w:tblCellMar>
        </w:tblPrEx>
        <w:trPr>
          <w:trHeight w:val="831" w:hRule="atLeast"/>
        </w:trPr>
        <w:tc>
          <w:tcPr>
            <w:tcW w:w="1080" w:type="dxa"/>
            <w:tcBorders>
              <w:top w:val="nil"/>
              <w:left w:val="single" w:color="auto" w:sz="8" w:space="0"/>
              <w:bottom w:val="single" w:color="auto" w:sz="8" w:space="0"/>
              <w:right w:val="single" w:color="auto" w:sz="8"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w:t>
            </w:r>
          </w:p>
        </w:tc>
        <w:tc>
          <w:tcPr>
            <w:tcW w:w="7974" w:type="dxa"/>
            <w:tcBorders>
              <w:top w:val="nil"/>
              <w:left w:val="nil"/>
              <w:bottom w:val="single" w:color="auto" w:sz="8" w:space="0"/>
              <w:right w:val="single" w:color="auto" w:sz="8" w:space="0"/>
            </w:tcBorders>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专业技能课考试达到60分及以上。</w:t>
            </w:r>
          </w:p>
        </w:tc>
      </w:tr>
      <w:tr>
        <w:tblPrEx>
          <w:tblCellMar>
            <w:top w:w="0" w:type="dxa"/>
            <w:left w:w="108" w:type="dxa"/>
            <w:bottom w:w="0" w:type="dxa"/>
            <w:right w:w="108" w:type="dxa"/>
          </w:tblCellMar>
        </w:tblPrEx>
        <w:trPr>
          <w:trHeight w:val="831" w:hRule="atLeast"/>
        </w:trPr>
        <w:tc>
          <w:tcPr>
            <w:tcW w:w="1080" w:type="dxa"/>
            <w:tcBorders>
              <w:top w:val="nil"/>
              <w:left w:val="single" w:color="auto" w:sz="8" w:space="0"/>
              <w:bottom w:val="single" w:color="auto" w:sz="8" w:space="0"/>
              <w:right w:val="single" w:color="auto" w:sz="8"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w:t>
            </w:r>
          </w:p>
        </w:tc>
        <w:tc>
          <w:tcPr>
            <w:tcW w:w="7974" w:type="dxa"/>
            <w:tcBorders>
              <w:top w:val="nil"/>
              <w:left w:val="nil"/>
              <w:bottom w:val="single" w:color="auto" w:sz="8" w:space="0"/>
              <w:right w:val="single" w:color="auto" w:sz="8" w:space="0"/>
            </w:tcBorders>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至少取得专业人才培养方案要求的1项职业技能等级证书，或参加省级及以上技能竞赛获得三等奖以上的成绩。</w:t>
            </w:r>
          </w:p>
        </w:tc>
      </w:tr>
      <w:tr>
        <w:tblPrEx>
          <w:tblCellMar>
            <w:top w:w="0" w:type="dxa"/>
            <w:left w:w="108" w:type="dxa"/>
            <w:bottom w:w="0" w:type="dxa"/>
            <w:right w:w="108" w:type="dxa"/>
          </w:tblCellMar>
        </w:tblPrEx>
        <w:trPr>
          <w:trHeight w:val="831" w:hRule="atLeast"/>
        </w:trPr>
        <w:tc>
          <w:tcPr>
            <w:tcW w:w="1080" w:type="dxa"/>
            <w:tcBorders>
              <w:top w:val="nil"/>
              <w:left w:val="single" w:color="auto" w:sz="8" w:space="0"/>
              <w:bottom w:val="single" w:color="auto" w:sz="8" w:space="0"/>
              <w:right w:val="single" w:color="auto" w:sz="8"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w:t>
            </w:r>
          </w:p>
        </w:tc>
        <w:tc>
          <w:tcPr>
            <w:tcW w:w="7974" w:type="dxa"/>
            <w:tcBorders>
              <w:top w:val="nil"/>
              <w:left w:val="nil"/>
              <w:bottom w:val="single" w:color="auto" w:sz="8" w:space="0"/>
              <w:right w:val="single" w:color="auto" w:sz="8" w:space="0"/>
            </w:tcBorders>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完成规定的顶岗实习和毕业实习。</w:t>
            </w:r>
          </w:p>
        </w:tc>
      </w:tr>
      <w:tr>
        <w:tblPrEx>
          <w:tblCellMar>
            <w:top w:w="0" w:type="dxa"/>
            <w:left w:w="108" w:type="dxa"/>
            <w:bottom w:w="0" w:type="dxa"/>
            <w:right w:w="108" w:type="dxa"/>
          </w:tblCellMar>
        </w:tblPrEx>
        <w:trPr>
          <w:trHeight w:val="831" w:hRule="atLeast"/>
        </w:trPr>
        <w:tc>
          <w:tcPr>
            <w:tcW w:w="1080" w:type="dxa"/>
            <w:tcBorders>
              <w:top w:val="nil"/>
              <w:left w:val="single" w:color="auto" w:sz="8" w:space="0"/>
              <w:bottom w:val="single" w:color="auto" w:sz="8" w:space="0"/>
              <w:right w:val="single" w:color="auto" w:sz="8"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p>
        </w:tc>
        <w:tc>
          <w:tcPr>
            <w:tcW w:w="7974" w:type="dxa"/>
            <w:tcBorders>
              <w:top w:val="nil"/>
              <w:left w:val="nil"/>
              <w:bottom w:val="single" w:color="auto" w:sz="8" w:space="0"/>
              <w:right w:val="single" w:color="auto" w:sz="8" w:space="0"/>
            </w:tcBorders>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总学分达170分及以上</w:t>
            </w:r>
          </w:p>
        </w:tc>
      </w:tr>
    </w:tbl>
    <w:p>
      <w:pPr>
        <w:pStyle w:val="3"/>
        <w:spacing w:after="0" w:line="560" w:lineRule="exact"/>
        <w:ind w:firstLine="562" w:firstLineChars="200"/>
        <w:jc w:val="left"/>
        <w:outlineLvl w:val="0"/>
        <w:rPr>
          <w:rFonts w:hint="eastAsia" w:eastAsia="宋体"/>
          <w:lang w:eastAsia="zh-CN"/>
        </w:rPr>
      </w:pPr>
      <w:bookmarkStart w:id="13" w:name="_Toc25910"/>
      <w:r>
        <w:rPr>
          <w:rFonts w:hint="eastAsia" w:ascii="黑体" w:hAnsi="黑体" w:eastAsia="黑体"/>
          <w:b/>
          <w:bCs w:val="0"/>
          <w:color w:val="auto"/>
          <w:sz w:val="28"/>
          <w:szCs w:val="28"/>
          <w:lang w:val="en-US" w:eastAsia="zh-CN"/>
        </w:rPr>
        <w:t>十、</w:t>
      </w:r>
      <w:r>
        <w:rPr>
          <w:rFonts w:hint="eastAsia" w:ascii="黑体" w:hAnsi="黑体" w:eastAsia="黑体"/>
          <w:b/>
          <w:bCs w:val="0"/>
          <w:color w:val="auto"/>
          <w:sz w:val="28"/>
          <w:szCs w:val="28"/>
        </w:rPr>
        <w:t>附录</w:t>
      </w:r>
      <w:bookmarkEnd w:id="13"/>
    </w:p>
    <w:p>
      <w:pPr>
        <w:widowControl/>
        <w:adjustRightInd w:val="0"/>
        <w:snapToGrid w:val="0"/>
        <w:spacing w:before="624" w:beforeLines="200" w:after="624" w:afterLines="200" w:line="240" w:lineRule="atLeast"/>
        <w:jc w:val="center"/>
        <w:rPr>
          <w:rFonts w:hint="eastAsia" w:eastAsia="宋体"/>
          <w:lang w:eastAsia="zh-CN"/>
        </w:rPr>
      </w:pPr>
      <w:r>
        <w:rPr>
          <w:rFonts w:hint="eastAsia" w:eastAsia="宋体"/>
          <w:lang w:eastAsia="zh-CN"/>
        </w:rPr>
        <w:drawing>
          <wp:inline distT="0" distB="0" distL="114300" distR="114300">
            <wp:extent cx="5272405" cy="6477635"/>
            <wp:effectExtent l="0" t="0" r="4445" b="18415"/>
            <wp:docPr id="11" name="图片 11" descr="16530963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1653096325(1)"/>
                    <pic:cNvPicPr>
                      <a:picLocks noChangeAspect="1"/>
                    </pic:cNvPicPr>
                  </pic:nvPicPr>
                  <pic:blipFill>
                    <a:blip r:embed="rId13"/>
                    <a:stretch>
                      <a:fillRect/>
                    </a:stretch>
                  </pic:blipFill>
                  <pic:spPr>
                    <a:xfrm>
                      <a:off x="0" y="0"/>
                      <a:ext cx="5272405" cy="6477635"/>
                    </a:xfrm>
                    <a:prstGeom prst="rect">
                      <a:avLst/>
                    </a:prstGeom>
                  </pic:spPr>
                </pic:pic>
              </a:graphicData>
            </a:graphic>
          </wp:inline>
        </w:drawing>
      </w:r>
    </w:p>
    <w:sectPr>
      <w:footerReference r:id="rId7"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script"/>
    <w:pitch w:val="default"/>
    <w:sig w:usb0="00000000" w:usb1="00000000" w:usb2="00000000" w:usb3="00000000" w:csb0="00040000" w:csb1="00000000"/>
  </w:font>
  <w:font w:name="Adobe 宋体 Std L">
    <w:altName w:val="宋体"/>
    <w:panose1 w:val="02020300000000000000"/>
    <w:charset w:val="86"/>
    <w:family w:val="roman"/>
    <w:pitch w:val="default"/>
    <w:sig w:usb0="00000000" w:usb1="00000000" w:usb2="00000016" w:usb3="00000000" w:csb0="00060007"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lear" w:pos="4153"/>
      </w:tabs>
      <w:rPr>
        <w:rFonts w:ascii="宋体" w:hAnsi="宋体"/>
        <w:sz w:val="21"/>
        <w:szCs w:val="21"/>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lear" w:pos="4153"/>
      </w:tabs>
      <w:rPr>
        <w:rFonts w:ascii="宋体" w:hAnsi="宋体"/>
        <w:sz w:val="21"/>
        <w:szCs w:val="21"/>
      </w:rP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lear" w:pos="4153"/>
      </w:tabs>
      <w:rPr>
        <w:rFonts w:ascii="宋体" w:hAnsi="宋体"/>
        <w:sz w:val="21"/>
        <w:szCs w:val="21"/>
      </w:rPr>
    </w:pPr>
    <w:r>
      <w:rPr>
        <w:sz w:val="21"/>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lear" w:pos="4153"/>
      </w:tabs>
      <w:rPr>
        <w:rFonts w:ascii="宋体" w:hAnsi="宋体"/>
        <w:sz w:val="21"/>
        <w:szCs w:val="21"/>
      </w:rPr>
    </w:pPr>
    <w:r>
      <w:rPr>
        <w:sz w:val="21"/>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lear" w:pos="4153"/>
      </w:tabs>
      <w:rPr>
        <w:rFonts w:ascii="宋体" w:hAnsi="宋体"/>
        <w:sz w:val="21"/>
        <w:szCs w:val="21"/>
      </w:rPr>
    </w:pPr>
    <w:r>
      <w:rPr>
        <w:sz w:val="21"/>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98425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98425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lang w:val="en-US"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51</w:t>
                          </w:r>
                          <w:r>
                            <w:rPr>
                              <w:rFonts w:hint="eastAsia"/>
                              <w:lang w:eastAsia="zh-CN"/>
                            </w:rPr>
                            <w:fldChar w:fldCharType="end"/>
                          </w:r>
                          <w:r>
                            <w:rPr>
                              <w:rFonts w:hint="eastAsia"/>
                              <w:lang w:val="en-US" w:eastAsia="zh-CN"/>
                            </w:rPr>
                            <w:t xml:space="preserve"> 页/共 29 页</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77.5pt;mso-position-horizontal:center;mso-position-horizontal-relative:margin;z-index:251665408;mso-width-relative:page;mso-height-relative:page;" filled="f" stroked="f" coordsize="21600,21600" o:gfxdata="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Aii0F9MAAAAFAQAADwAAAAAAAAABACAAAAAiAAAAZHJzL2Rvd25yZXYueG1s&#10;UEsBAhQAFAAAAAgAh07iQDs0QsI2AgAAZAQAAA4AAAAAAAAAAQAgAAAAIgEAAGRycy9lMm9Eb2Mu&#10;eG1sUEsFBgAAAAAGAAYAWQEAAMoFAAAAAA==&#10;">
              <v:fill on="f" focussize="0,0"/>
              <v:stroke on="f" weight="0.5pt"/>
              <v:imagedata o:title=""/>
              <o:lock v:ext="edit" aspectratio="f"/>
              <v:textbox inset="0mm,0mm,0mm,0mm" style="mso-fit-shape-to-text:t;">
                <w:txbxContent>
                  <w:p>
                    <w:pPr>
                      <w:pStyle w:val="6"/>
                    </w:pPr>
                    <w:r>
                      <w:rPr>
                        <w:rFonts w:hint="eastAsia"/>
                        <w:lang w:val="en-US"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51</w:t>
                    </w:r>
                    <w:r>
                      <w:rPr>
                        <w:rFonts w:hint="eastAsia"/>
                        <w:lang w:eastAsia="zh-CN"/>
                      </w:rPr>
                      <w:fldChar w:fldCharType="end"/>
                    </w:r>
                    <w:r>
                      <w:rPr>
                        <w:rFonts w:hint="eastAsia"/>
                        <w:lang w:val="en-US" w:eastAsia="zh-CN"/>
                      </w:rPr>
                      <w:t xml:space="preserve"> 页/共 29 页</w:t>
                    </w:r>
                  </w:p>
                </w:txbxContent>
              </v:textbox>
            </v:shape>
          </w:pict>
        </mc:Fallback>
      </mc:AlternateContent>
    </w: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eastAsia="宋体"/>
                        <w:lang w:eastAsia="zh-CN"/>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5BC937"/>
    <w:multiLevelType w:val="singleLevel"/>
    <w:tmpl w:val="805BC937"/>
    <w:lvl w:ilvl="0" w:tentative="0">
      <w:start w:val="1"/>
      <w:numFmt w:val="decimal"/>
      <w:lvlText w:val="%1."/>
      <w:lvlJc w:val="left"/>
      <w:pPr>
        <w:tabs>
          <w:tab w:val="left" w:pos="312"/>
        </w:tabs>
      </w:pPr>
    </w:lvl>
  </w:abstractNum>
  <w:abstractNum w:abstractNumId="1">
    <w:nsid w:val="82E0EC95"/>
    <w:multiLevelType w:val="singleLevel"/>
    <w:tmpl w:val="82E0EC95"/>
    <w:lvl w:ilvl="0" w:tentative="0">
      <w:start w:val="1"/>
      <w:numFmt w:val="chineseCounting"/>
      <w:suff w:val="nothing"/>
      <w:lvlText w:val="（%1）"/>
      <w:lvlJc w:val="left"/>
      <w:rPr>
        <w:rFonts w:hint="eastAsia"/>
      </w:rPr>
    </w:lvl>
  </w:abstractNum>
  <w:abstractNum w:abstractNumId="2">
    <w:nsid w:val="A088E3F9"/>
    <w:multiLevelType w:val="singleLevel"/>
    <w:tmpl w:val="A088E3F9"/>
    <w:lvl w:ilvl="0" w:tentative="0">
      <w:start w:val="1"/>
      <w:numFmt w:val="decimal"/>
      <w:suff w:val="nothing"/>
      <w:lvlText w:val="（%1）"/>
      <w:lvlJc w:val="left"/>
    </w:lvl>
  </w:abstractNum>
  <w:abstractNum w:abstractNumId="3">
    <w:nsid w:val="0D83960A"/>
    <w:multiLevelType w:val="singleLevel"/>
    <w:tmpl w:val="0D83960A"/>
    <w:lvl w:ilvl="0" w:tentative="0">
      <w:start w:val="1"/>
      <w:numFmt w:val="decimal"/>
      <w:suff w:val="nothing"/>
      <w:lvlText w:val="（%1）"/>
      <w:lvlJc w:val="left"/>
    </w:lvl>
  </w:abstractNum>
  <w:abstractNum w:abstractNumId="4">
    <w:nsid w:val="6293918D"/>
    <w:multiLevelType w:val="singleLevel"/>
    <w:tmpl w:val="6293918D"/>
    <w:lvl w:ilvl="0" w:tentative="0">
      <w:start w:val="6"/>
      <w:numFmt w:val="chineseCounting"/>
      <w:suff w:val="nothing"/>
      <w:lvlText w:val="%1、"/>
      <w:lvlJc w:val="left"/>
      <w:rPr>
        <w:rFonts w:hint="eastAsia"/>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dkN2EwNDE0Zjk5ZjcyNzhjOTI3Y2JkZGExNGE0YWUifQ=="/>
  </w:docVars>
  <w:rsids>
    <w:rsidRoot w:val="03235C93"/>
    <w:rsid w:val="01FC05C7"/>
    <w:rsid w:val="03235C93"/>
    <w:rsid w:val="070558FC"/>
    <w:rsid w:val="0A051A16"/>
    <w:rsid w:val="153E386A"/>
    <w:rsid w:val="162B5056"/>
    <w:rsid w:val="1DC06250"/>
    <w:rsid w:val="255938B0"/>
    <w:rsid w:val="25911B03"/>
    <w:rsid w:val="261E03DA"/>
    <w:rsid w:val="2A14718B"/>
    <w:rsid w:val="2D8C2AA2"/>
    <w:rsid w:val="2EB242A6"/>
    <w:rsid w:val="40950B5F"/>
    <w:rsid w:val="4727183D"/>
    <w:rsid w:val="53FC752F"/>
    <w:rsid w:val="58BC2CA0"/>
    <w:rsid w:val="5E8429B5"/>
    <w:rsid w:val="60441B64"/>
    <w:rsid w:val="631F6EAA"/>
    <w:rsid w:val="67AD6DF0"/>
    <w:rsid w:val="71434382"/>
    <w:rsid w:val="7DEA2B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after="60" w:line="550" w:lineRule="exact"/>
      <w:jc w:val="center"/>
      <w:outlineLvl w:val="0"/>
    </w:pPr>
    <w:rPr>
      <w:rFonts w:eastAsia="方正小标宋简体"/>
      <w:bCs/>
      <w:kern w:val="44"/>
      <w:sz w:val="36"/>
      <w:szCs w:val="44"/>
    </w:rPr>
  </w:style>
  <w:style w:type="paragraph" w:styleId="4">
    <w:name w:val="heading 4"/>
    <w:basedOn w:val="1"/>
    <w:next w:val="1"/>
    <w:qFormat/>
    <w:uiPriority w:val="0"/>
    <w:pPr>
      <w:keepNext/>
      <w:keepLines/>
      <w:spacing w:line="500" w:lineRule="exact"/>
      <w:ind w:firstLine="200" w:firstLineChars="200"/>
      <w:outlineLvl w:val="3"/>
    </w:pPr>
    <w:rPr>
      <w:rFonts w:ascii="宋体" w:hAnsi="Adobe 宋体 Std L"/>
      <w:b/>
      <w:bCs/>
      <w:sz w:val="28"/>
      <w:szCs w:val="28"/>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rPr>
      <w:rFonts w:ascii="Calibri" w:hAnsi="Calibri"/>
    </w:rPr>
  </w:style>
  <w:style w:type="paragraph" w:styleId="5">
    <w:name w:val="Plain Text"/>
    <w:qFormat/>
    <w:uiPriority w:val="0"/>
    <w:rPr>
      <w:rFonts w:ascii="宋体" w:hAnsi="Courier New" w:eastAsia="宋体" w:cs="Times New Roman"/>
      <w:kern w:val="2"/>
      <w:sz w:val="24"/>
      <w:lang w:val="en-US" w:eastAsia="zh-CN" w:bidi="ar-SA"/>
    </w:r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unhideWhenUsed/>
    <w:qFormat/>
    <w:uiPriority w:val="39"/>
  </w:style>
  <w:style w:type="table" w:styleId="10">
    <w:name w:val="Table Grid"/>
    <w:basedOn w:val="9"/>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14520</Words>
  <Characters>14988</Characters>
  <Lines>0</Lines>
  <Paragraphs>0</Paragraphs>
  <TotalTime>0</TotalTime>
  <ScaleCrop>false</ScaleCrop>
  <LinksUpToDate>false</LinksUpToDate>
  <CharactersWithSpaces>15246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2022-03-23T01:17:00Z</dcterms:created>
  <dc:creator>苏丽英</dc:creator>
  <cp:lastModifiedBy>宁静致远</cp:lastModifiedBy>
  <dcterms:modified xsi:type="dcterms:W3CDTF">2022-05-25T02:04:54Z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20C28DF91D4E4E01BB0445A97BDA085C</vt:lpwstr>
  </property>
</Properties>
</file>