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624" w:beforeLines="200" w:after="624" w:afterLines="200" w:line="240" w:lineRule="atLeast"/>
        <w:jc w:val="center"/>
      </w:pPr>
    </w:p>
    <w:p>
      <w:pPr>
        <w:widowControl/>
        <w:adjustRightInd w:val="0"/>
        <w:snapToGrid w:val="0"/>
        <w:spacing w:before="624" w:beforeLines="200" w:after="624" w:afterLines="200" w:line="240" w:lineRule="atLeast"/>
        <w:jc w:val="center"/>
        <w:rPr>
          <w:rFonts w:ascii="黑体" w:hAnsi="黑体" w:eastAsia="黑体" w:cs="Calibri"/>
          <w:b/>
          <w:spacing w:val="-20"/>
          <w:kern w:val="0"/>
          <w:sz w:val="52"/>
          <w:szCs w:val="52"/>
        </w:rPr>
      </w:pPr>
      <w:r>
        <w:drawing>
          <wp:inline distT="0" distB="0" distL="114300" distR="114300">
            <wp:extent cx="2066290" cy="2060575"/>
            <wp:effectExtent l="0" t="0" r="10160" b="15875"/>
            <wp:docPr id="236" name="图片 1" descr="微信截图_2020020413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 descr="微信截图_20200204132258"/>
                    <pic:cNvPicPr>
                      <a:picLocks noChangeAspect="1"/>
                    </pic:cNvPicPr>
                  </pic:nvPicPr>
                  <pic:blipFill>
                    <a:blip r:embed="rId9"/>
                    <a:stretch>
                      <a:fillRect/>
                    </a:stretch>
                  </pic:blipFill>
                  <pic:spPr>
                    <a:xfrm>
                      <a:off x="0" y="0"/>
                      <a:ext cx="2066290" cy="2060575"/>
                    </a:xfrm>
                    <a:prstGeom prst="rect">
                      <a:avLst/>
                    </a:prstGeom>
                    <a:noFill/>
                    <a:ln>
                      <a:noFill/>
                    </a:ln>
                  </pic:spPr>
                </pic:pic>
              </a:graphicData>
            </a:graphic>
          </wp:inline>
        </w:drawing>
      </w:r>
    </w:p>
    <w:p>
      <w:pPr>
        <w:widowControl/>
        <w:adjustRightInd w:val="0"/>
        <w:snapToGrid w:val="0"/>
        <w:spacing w:before="624" w:beforeLines="200" w:after="624" w:afterLines="200" w:line="240" w:lineRule="atLeast"/>
        <w:jc w:val="center"/>
        <w:rPr>
          <w:rFonts w:ascii="黑体" w:hAnsi="黑体" w:eastAsia="黑体" w:cs="Calibri"/>
          <w:b/>
          <w:spacing w:val="-20"/>
          <w:kern w:val="0"/>
          <w:sz w:val="52"/>
          <w:szCs w:val="52"/>
        </w:rPr>
      </w:pPr>
      <w:r>
        <w:rPr>
          <w:rFonts w:hint="eastAsia" w:ascii="黑体" w:hAnsi="黑体" w:eastAsia="黑体" w:cs="Calibri"/>
          <w:b/>
          <w:spacing w:val="-20"/>
          <w:kern w:val="0"/>
          <w:sz w:val="52"/>
          <w:szCs w:val="52"/>
        </w:rPr>
        <w:t>莆田市中等职业学校人才培养方案</w:t>
      </w:r>
    </w:p>
    <w:p>
      <w:pPr>
        <w:tabs>
          <w:tab w:val="left" w:pos="2003"/>
        </w:tabs>
        <w:spacing w:line="400" w:lineRule="exact"/>
        <w:ind w:firstLine="880"/>
        <w:jc w:val="center"/>
        <w:rPr>
          <w:rFonts w:ascii="黑体" w:hAnsi="黑体" w:eastAsia="黑体" w:cs="黑体"/>
          <w:sz w:val="44"/>
          <w:szCs w:val="44"/>
        </w:rPr>
      </w:pPr>
    </w:p>
    <w:p>
      <w:pPr>
        <w:bidi w:val="0"/>
        <w:jc w:val="center"/>
        <w:rPr>
          <w:rFonts w:ascii="黑体" w:hAnsi="黑体" w:eastAsia="黑体" w:cs="黑体"/>
          <w:sz w:val="28"/>
          <w:szCs w:val="28"/>
        </w:rPr>
      </w:pPr>
      <w:r>
        <w:rPr>
          <w:rFonts w:hint="eastAsia" w:ascii="黑体" w:hAnsi="黑体" w:eastAsia="黑体" w:cs="黑体"/>
          <w:sz w:val="44"/>
          <w:szCs w:val="44"/>
        </w:rPr>
        <w:t>数控技术应用专业人才培养方案</w:t>
      </w:r>
    </w:p>
    <w:p>
      <w:pPr>
        <w:tabs>
          <w:tab w:val="left" w:pos="2003"/>
        </w:tabs>
        <w:spacing w:line="400" w:lineRule="exact"/>
        <w:ind w:firstLine="560"/>
        <w:jc w:val="center"/>
        <w:rPr>
          <w:rFonts w:ascii="黑体" w:hAnsi="黑体" w:eastAsia="黑体" w:cs="黑体"/>
          <w:sz w:val="28"/>
          <w:szCs w:val="28"/>
        </w:rPr>
      </w:pPr>
    </w:p>
    <w:p>
      <w:pPr>
        <w:tabs>
          <w:tab w:val="left" w:pos="2003"/>
        </w:tabs>
        <w:spacing w:line="400" w:lineRule="exact"/>
        <w:ind w:firstLine="560"/>
        <w:jc w:val="center"/>
        <w:rPr>
          <w:rFonts w:ascii="黑体" w:hAnsi="黑体" w:eastAsia="黑体" w:cs="黑体"/>
          <w:sz w:val="28"/>
          <w:szCs w:val="28"/>
        </w:rPr>
      </w:pPr>
    </w:p>
    <w:p>
      <w:pPr>
        <w:tabs>
          <w:tab w:val="left" w:pos="2003"/>
        </w:tabs>
        <w:spacing w:line="400" w:lineRule="exact"/>
        <w:ind w:firstLine="560"/>
        <w:jc w:val="center"/>
        <w:rPr>
          <w:rFonts w:ascii="黑体" w:hAnsi="黑体" w:eastAsia="黑体" w:cs="黑体"/>
          <w:sz w:val="28"/>
          <w:szCs w:val="28"/>
        </w:rPr>
      </w:pPr>
    </w:p>
    <w:p>
      <w:pPr>
        <w:tabs>
          <w:tab w:val="left" w:pos="2003"/>
        </w:tabs>
        <w:spacing w:line="400" w:lineRule="exact"/>
        <w:ind w:firstLine="560"/>
        <w:jc w:val="center"/>
        <w:rPr>
          <w:rFonts w:ascii="黑体" w:hAnsi="黑体" w:eastAsia="黑体" w:cs="黑体"/>
          <w:sz w:val="28"/>
          <w:szCs w:val="28"/>
        </w:rPr>
      </w:pPr>
      <w:r>
        <w:drawing>
          <wp:anchor distT="0" distB="0" distL="0" distR="0" simplePos="0" relativeHeight="251659264" behindDoc="1" locked="0" layoutInCell="1" allowOverlap="1">
            <wp:simplePos x="0" y="0"/>
            <wp:positionH relativeFrom="column">
              <wp:posOffset>4980305</wp:posOffset>
            </wp:positionH>
            <wp:positionV relativeFrom="paragraph">
              <wp:posOffset>7964170</wp:posOffset>
            </wp:positionV>
            <wp:extent cx="1438275" cy="1438275"/>
            <wp:effectExtent l="0" t="0" r="9525" b="9525"/>
            <wp:wrapNone/>
            <wp:docPr id="237" name="图片 140"/>
            <wp:cNvGraphicFramePr/>
            <a:graphic xmlns:a="http://schemas.openxmlformats.org/drawingml/2006/main">
              <a:graphicData uri="http://schemas.openxmlformats.org/drawingml/2006/picture">
                <pic:pic xmlns:pic="http://schemas.openxmlformats.org/drawingml/2006/picture">
                  <pic:nvPicPr>
                    <pic:cNvPr id="237" name="图片 140"/>
                    <pic:cNvPicPr/>
                  </pic:nvPicPr>
                  <pic:blipFill>
                    <a:blip r:embed="rId10" cstate="print"/>
                    <a:srcRect/>
                    <a:stretch>
                      <a:fillRect/>
                    </a:stretch>
                  </pic:blipFill>
                  <pic:spPr>
                    <a:xfrm>
                      <a:off x="0" y="0"/>
                      <a:ext cx="1438275" cy="1438275"/>
                    </a:xfrm>
                    <a:prstGeom prst="rect">
                      <a:avLst/>
                    </a:prstGeom>
                    <a:ln>
                      <a:noFill/>
                    </a:ln>
                  </pic:spPr>
                </pic:pic>
              </a:graphicData>
            </a:graphic>
          </wp:anchor>
        </w:drawing>
      </w:r>
    </w:p>
    <w:p>
      <w:pPr>
        <w:tabs>
          <w:tab w:val="left" w:pos="2003"/>
        </w:tabs>
        <w:spacing w:line="400" w:lineRule="exact"/>
        <w:ind w:firstLine="560"/>
        <w:jc w:val="center"/>
        <w:rPr>
          <w:rFonts w:ascii="黑体" w:hAnsi="黑体" w:eastAsia="黑体" w:cs="黑体"/>
          <w:sz w:val="28"/>
          <w:szCs w:val="28"/>
        </w:rPr>
      </w:pPr>
    </w:p>
    <w:p>
      <w:pPr>
        <w:tabs>
          <w:tab w:val="left" w:pos="2003"/>
        </w:tabs>
        <w:spacing w:line="400" w:lineRule="exact"/>
        <w:ind w:firstLine="420"/>
        <w:jc w:val="center"/>
      </w:pPr>
      <w:r>
        <w:drawing>
          <wp:anchor distT="0" distB="0" distL="0" distR="0" simplePos="0" relativeHeight="251659264" behindDoc="1" locked="0" layoutInCell="1" allowOverlap="0">
            <wp:simplePos x="0" y="0"/>
            <wp:positionH relativeFrom="margin">
              <wp:posOffset>1145540</wp:posOffset>
            </wp:positionH>
            <wp:positionV relativeFrom="paragraph">
              <wp:posOffset>12700</wp:posOffset>
            </wp:positionV>
            <wp:extent cx="3168015" cy="396875"/>
            <wp:effectExtent l="0" t="0" r="13335" b="3175"/>
            <wp:wrapNone/>
            <wp:docPr id="238" name="图片 72"/>
            <wp:cNvGraphicFramePr/>
            <a:graphic xmlns:a="http://schemas.openxmlformats.org/drawingml/2006/main">
              <a:graphicData uri="http://schemas.openxmlformats.org/drawingml/2006/picture">
                <pic:pic xmlns:pic="http://schemas.openxmlformats.org/drawingml/2006/picture">
                  <pic:nvPicPr>
                    <pic:cNvPr id="238" name="图片 72"/>
                    <pic:cNvPicPr/>
                  </pic:nvPicPr>
                  <pic:blipFill>
                    <a:blip r:embed="rId11" cstate="print">
                      <a:lum contrast="40000"/>
                    </a:blip>
                    <a:srcRect t="17493" r="4498" b="29255"/>
                    <a:stretch>
                      <a:fillRect/>
                    </a:stretch>
                  </pic:blipFill>
                  <pic:spPr>
                    <a:xfrm>
                      <a:off x="0" y="0"/>
                      <a:ext cx="3168015" cy="396875"/>
                    </a:xfrm>
                    <a:prstGeom prst="rect">
                      <a:avLst/>
                    </a:prstGeom>
                    <a:ln>
                      <a:noFill/>
                    </a:ln>
                  </pic:spPr>
                </pic:pic>
              </a:graphicData>
            </a:graphic>
          </wp:anchor>
        </w:drawing>
      </w:r>
    </w:p>
    <w:p>
      <w:pPr>
        <w:ind w:firstLine="420"/>
      </w:pPr>
    </w:p>
    <w:p>
      <w:pPr>
        <w:ind w:firstLine="420"/>
      </w:pPr>
    </w:p>
    <w:p>
      <w:pPr>
        <w:ind w:firstLine="420"/>
      </w:pPr>
    </w:p>
    <w:p/>
    <w:p>
      <w:pPr>
        <w:jc w:val="center"/>
        <w:rPr>
          <w:rFonts w:ascii="黑体" w:hAnsi="黑体" w:eastAsia="黑体" w:cs="黑体"/>
          <w:sz w:val="36"/>
          <w:szCs w:val="36"/>
        </w:rPr>
      </w:pPr>
    </w:p>
    <w:p>
      <w:pPr>
        <w:jc w:val="center"/>
        <w:rPr>
          <w:rFonts w:hint="eastAsia" w:ascii="楷体" w:hAnsi="楷体" w:eastAsia="楷体" w:cs="楷体"/>
          <w:sz w:val="36"/>
          <w:szCs w:val="36"/>
        </w:rPr>
      </w:pPr>
      <w:r>
        <w:rPr>
          <w:rFonts w:hint="eastAsia" w:ascii="楷体" w:hAnsi="楷体" w:eastAsia="楷体" w:cs="楷体"/>
          <w:sz w:val="36"/>
          <w:szCs w:val="36"/>
        </w:rPr>
        <w:t>20</w:t>
      </w:r>
      <w:r>
        <w:rPr>
          <w:rFonts w:hint="eastAsia" w:ascii="楷体" w:hAnsi="楷体" w:eastAsia="楷体" w:cs="楷体"/>
          <w:sz w:val="36"/>
          <w:szCs w:val="36"/>
          <w:lang w:val="en-US" w:eastAsia="zh-CN"/>
        </w:rPr>
        <w:t>22</w:t>
      </w:r>
      <w:r>
        <w:rPr>
          <w:rFonts w:hint="eastAsia" w:ascii="楷体" w:hAnsi="楷体" w:eastAsia="楷体" w:cs="楷体"/>
          <w:sz w:val="36"/>
          <w:szCs w:val="36"/>
        </w:rPr>
        <w:t>年</w:t>
      </w:r>
      <w:r>
        <w:rPr>
          <w:rFonts w:hint="eastAsia" w:ascii="楷体" w:hAnsi="楷体" w:eastAsia="楷体" w:cs="楷体"/>
          <w:sz w:val="36"/>
          <w:szCs w:val="36"/>
          <w:lang w:val="en-US" w:eastAsia="zh-CN"/>
        </w:rPr>
        <w:t>5</w:t>
      </w:r>
      <w:r>
        <w:rPr>
          <w:rFonts w:hint="eastAsia" w:ascii="楷体" w:hAnsi="楷体" w:eastAsia="楷体" w:cs="楷体"/>
          <w:sz w:val="36"/>
          <w:szCs w:val="36"/>
        </w:rPr>
        <w:t>月</w:t>
      </w:r>
    </w:p>
    <w:p/>
    <w:p>
      <w:pPr>
        <w:spacing w:line="500" w:lineRule="exact"/>
        <w:jc w:val="center"/>
        <w:textAlignment w:val="baseline"/>
        <w:rPr>
          <w:rFonts w:hint="eastAsia" w:ascii="黑体" w:hAnsi="黑体" w:eastAsia="黑体"/>
          <w:b/>
          <w:bCs/>
          <w:sz w:val="36"/>
          <w:szCs w:val="36"/>
        </w:rPr>
        <w:sectPr>
          <w:footerReference r:id="rId3" w:type="default"/>
          <w:pgSz w:w="11906" w:h="16838"/>
          <w:pgMar w:top="1418" w:right="1418" w:bottom="1418" w:left="1418" w:header="454" w:footer="1021" w:gutter="0"/>
          <w:pgNumType w:fmt="decimal"/>
          <w:cols w:space="720" w:num="1"/>
          <w:docGrid w:type="lines" w:linePitch="312" w:charSpace="0"/>
        </w:sectPr>
      </w:pPr>
    </w:p>
    <w:p>
      <w:pPr>
        <w:spacing w:line="500" w:lineRule="exact"/>
        <w:jc w:val="center"/>
        <w:textAlignment w:val="baseline"/>
        <w:rPr>
          <w:rFonts w:ascii="黑体" w:hAnsi="黑体" w:eastAsia="黑体"/>
          <w:b/>
          <w:bCs/>
          <w:sz w:val="36"/>
          <w:szCs w:val="36"/>
        </w:rPr>
      </w:pPr>
      <w:r>
        <w:rPr>
          <w:rFonts w:hint="eastAsia" w:ascii="黑体" w:hAnsi="黑体" w:eastAsia="黑体"/>
          <w:b/>
          <w:bCs/>
          <w:sz w:val="36"/>
          <w:szCs w:val="36"/>
        </w:rPr>
        <w:t>前  言</w:t>
      </w:r>
    </w:p>
    <w:p>
      <w:pPr>
        <w:spacing w:line="500" w:lineRule="exact"/>
        <w:ind w:firstLine="562" w:firstLineChars="200"/>
        <w:jc w:val="left"/>
        <w:textAlignment w:val="baseline"/>
        <w:rPr>
          <w:b/>
          <w:bCs/>
          <w:sz w:val="28"/>
          <w:szCs w:val="28"/>
        </w:rPr>
      </w:pPr>
    </w:p>
    <w:p>
      <w:pPr>
        <w:spacing w:line="500" w:lineRule="exact"/>
        <w:ind w:firstLine="562" w:firstLineChars="200"/>
        <w:jc w:val="left"/>
        <w:textAlignment w:val="baseline"/>
        <w:rPr>
          <w:rFonts w:ascii="黑体" w:hAnsi="黑体" w:eastAsia="黑体" w:cs="仿宋_GB2312"/>
          <w:b/>
          <w:bCs/>
          <w:sz w:val="28"/>
          <w:szCs w:val="28"/>
        </w:rPr>
      </w:pPr>
      <w:r>
        <w:rPr>
          <w:rFonts w:hint="eastAsia" w:ascii="黑体" w:hAnsi="黑体" w:eastAsia="黑体"/>
          <w:b/>
          <w:bCs/>
          <w:sz w:val="28"/>
          <w:szCs w:val="28"/>
        </w:rPr>
        <w:t>（一）编制依据</w:t>
      </w:r>
    </w:p>
    <w:p>
      <w:pPr>
        <w:spacing w:line="500" w:lineRule="exact"/>
        <w:ind w:firstLine="560" w:firstLineChars="200"/>
        <w:jc w:val="left"/>
        <w:textAlignment w:val="baseline"/>
        <w:rPr>
          <w:rFonts w:ascii="宋体" w:hAnsi="宋体"/>
          <w:sz w:val="28"/>
          <w:szCs w:val="28"/>
        </w:rPr>
      </w:pPr>
      <w:r>
        <w:rPr>
          <w:rFonts w:hint="eastAsia" w:ascii="宋体" w:hAnsi="宋体"/>
          <w:sz w:val="28"/>
          <w:szCs w:val="28"/>
        </w:rPr>
        <w:t>1.《国务院关于印发国家职业教育改革实施方案的通知》（国发〔2019〕4号）。</w:t>
      </w:r>
    </w:p>
    <w:p>
      <w:pPr>
        <w:spacing w:line="500" w:lineRule="exact"/>
        <w:ind w:firstLine="560" w:firstLineChars="200"/>
        <w:jc w:val="left"/>
        <w:textAlignment w:val="baseline"/>
        <w:rPr>
          <w:rFonts w:ascii="宋体" w:hAnsi="宋体"/>
          <w:sz w:val="28"/>
          <w:szCs w:val="28"/>
        </w:rPr>
      </w:pPr>
      <w:r>
        <w:rPr>
          <w:rFonts w:hint="eastAsia" w:ascii="宋体" w:hAnsi="宋体"/>
          <w:sz w:val="28"/>
          <w:szCs w:val="28"/>
        </w:rPr>
        <w:t>2.教育部等六部门发布的现代职业教育体系建设规划。</w:t>
      </w:r>
    </w:p>
    <w:p>
      <w:pPr>
        <w:spacing w:line="500" w:lineRule="exact"/>
        <w:ind w:firstLine="560" w:firstLineChars="200"/>
        <w:jc w:val="left"/>
        <w:textAlignment w:val="baseline"/>
        <w:rPr>
          <w:rFonts w:ascii="宋体" w:hAnsi="宋体"/>
          <w:sz w:val="28"/>
          <w:szCs w:val="28"/>
        </w:rPr>
      </w:pPr>
      <w:r>
        <w:rPr>
          <w:rFonts w:hint="eastAsia" w:ascii="宋体" w:hAnsi="宋体"/>
          <w:sz w:val="28"/>
          <w:szCs w:val="28"/>
        </w:rPr>
        <w:t>3.《教育部关于职业院校专业人才培养方案制订与实施工作的指导意见》（教职成〔2019〕13号）。</w:t>
      </w:r>
    </w:p>
    <w:p>
      <w:pPr>
        <w:spacing w:line="500" w:lineRule="exact"/>
        <w:ind w:firstLine="560" w:firstLineChars="200"/>
        <w:jc w:val="left"/>
        <w:textAlignment w:val="baseline"/>
        <w:rPr>
          <w:rFonts w:ascii="宋体" w:hAnsi="宋体"/>
          <w:sz w:val="28"/>
          <w:szCs w:val="28"/>
        </w:rPr>
      </w:pPr>
      <w:r>
        <w:rPr>
          <w:rFonts w:hint="eastAsia" w:ascii="宋体" w:hAnsi="宋体"/>
          <w:sz w:val="28"/>
          <w:szCs w:val="28"/>
        </w:rPr>
        <w:t>4.教育部办公厅《中等职业学校数控技术应用专业教学标准（试行）》</w:t>
      </w:r>
    </w:p>
    <w:p>
      <w:pPr>
        <w:spacing w:line="500" w:lineRule="exact"/>
        <w:ind w:firstLine="560" w:firstLineChars="200"/>
        <w:jc w:val="left"/>
        <w:textAlignment w:val="baseline"/>
        <w:rPr>
          <w:rFonts w:ascii="宋体" w:hAnsi="宋体"/>
          <w:sz w:val="28"/>
          <w:szCs w:val="28"/>
        </w:rPr>
      </w:pPr>
      <w:r>
        <w:rPr>
          <w:rFonts w:hint="eastAsia" w:ascii="宋体" w:hAnsi="宋体"/>
          <w:sz w:val="28"/>
          <w:szCs w:val="28"/>
        </w:rPr>
        <w:t>5.《福建省福建省教育厅关于做好职业院校专业人才培养方案制订与实施工作的通知》（闽教职成〔2019〕24号）</w:t>
      </w:r>
    </w:p>
    <w:p>
      <w:pPr>
        <w:spacing w:line="500" w:lineRule="exact"/>
        <w:ind w:firstLine="560" w:firstLineChars="200"/>
        <w:jc w:val="left"/>
        <w:textAlignment w:val="baseline"/>
        <w:rPr>
          <w:rFonts w:ascii="宋体" w:hAnsi="宋体"/>
          <w:sz w:val="28"/>
          <w:szCs w:val="28"/>
        </w:rPr>
      </w:pPr>
      <w:r>
        <w:rPr>
          <w:rFonts w:hint="eastAsia" w:ascii="宋体" w:hAnsi="宋体"/>
          <w:sz w:val="28"/>
          <w:szCs w:val="28"/>
        </w:rPr>
        <w:t>6.《职业院校专业人才培养方案参考格式及有关说明》</w:t>
      </w:r>
    </w:p>
    <w:p>
      <w:pPr>
        <w:spacing w:line="500" w:lineRule="exact"/>
        <w:ind w:firstLine="560" w:firstLineChars="200"/>
        <w:jc w:val="left"/>
        <w:textAlignment w:val="baseline"/>
        <w:rPr>
          <w:rFonts w:ascii="宋体" w:hAnsi="宋体"/>
          <w:sz w:val="28"/>
          <w:szCs w:val="28"/>
        </w:rPr>
      </w:pPr>
      <w:r>
        <w:rPr>
          <w:rFonts w:hint="eastAsia" w:ascii="宋体" w:hAnsi="宋体"/>
          <w:sz w:val="28"/>
          <w:szCs w:val="28"/>
        </w:rPr>
        <w:t>7.《数控技术应用专业人才需求分析和预测调研报告》。</w:t>
      </w:r>
    </w:p>
    <w:p>
      <w:pPr>
        <w:spacing w:line="500" w:lineRule="exact"/>
        <w:ind w:firstLine="560" w:firstLineChars="200"/>
        <w:jc w:val="left"/>
        <w:textAlignment w:val="baseline"/>
        <w:rPr>
          <w:rFonts w:ascii="宋体" w:hAnsi="宋体"/>
          <w:sz w:val="28"/>
          <w:szCs w:val="28"/>
        </w:rPr>
      </w:pPr>
      <w:r>
        <w:rPr>
          <w:rFonts w:hint="eastAsia" w:ascii="宋体" w:hAnsi="宋体"/>
          <w:sz w:val="28"/>
          <w:szCs w:val="28"/>
        </w:rPr>
        <w:t>8.《数控技术应用专业人才目标、规格、能力分析报告》。</w:t>
      </w:r>
    </w:p>
    <w:p>
      <w:pPr>
        <w:spacing w:line="500" w:lineRule="exact"/>
        <w:ind w:firstLine="560" w:firstLineChars="200"/>
        <w:jc w:val="left"/>
        <w:textAlignment w:val="baseline"/>
        <w:rPr>
          <w:rFonts w:ascii="宋体" w:hAnsi="宋体"/>
          <w:sz w:val="28"/>
          <w:szCs w:val="28"/>
        </w:rPr>
      </w:pPr>
      <w:r>
        <w:rPr>
          <w:rFonts w:hint="eastAsia" w:ascii="宋体" w:hAnsi="宋体"/>
          <w:sz w:val="28"/>
          <w:szCs w:val="28"/>
        </w:rPr>
        <w:t>9.《数控技术应用专业职业岗位群、典型工作任务与职业能力分析表》。</w:t>
      </w:r>
    </w:p>
    <w:p>
      <w:pPr>
        <w:spacing w:line="500" w:lineRule="exact"/>
        <w:ind w:firstLine="562" w:firstLineChars="200"/>
        <w:jc w:val="left"/>
        <w:textAlignment w:val="baseline"/>
        <w:rPr>
          <w:rFonts w:ascii="黑体" w:hAnsi="黑体" w:eastAsia="黑体"/>
          <w:b/>
          <w:bCs/>
          <w:sz w:val="28"/>
          <w:szCs w:val="28"/>
        </w:rPr>
      </w:pPr>
      <w:bookmarkStart w:id="14" w:name="_GoBack"/>
      <w:bookmarkEnd w:id="14"/>
      <w:r>
        <w:rPr>
          <w:rFonts w:hint="eastAsia" w:ascii="黑体" w:hAnsi="黑体" w:eastAsia="黑体"/>
          <w:b/>
          <w:bCs/>
          <w:sz w:val="28"/>
          <w:szCs w:val="28"/>
        </w:rPr>
        <w:t>（二）指导思想</w:t>
      </w:r>
    </w:p>
    <w:p>
      <w:pPr>
        <w:spacing w:line="500" w:lineRule="exact"/>
        <w:ind w:firstLine="560" w:firstLineChars="200"/>
        <w:jc w:val="left"/>
        <w:textAlignment w:val="baseline"/>
        <w:rPr>
          <w:rFonts w:ascii="宋体" w:hAnsi="宋体"/>
          <w:sz w:val="28"/>
          <w:szCs w:val="28"/>
        </w:rPr>
      </w:pPr>
      <w:r>
        <w:rPr>
          <w:rFonts w:hint="eastAsia" w:ascii="宋体" w:hAnsi="宋体"/>
          <w:sz w:val="28"/>
          <w:szCs w:val="28"/>
        </w:rPr>
        <w:t>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 完善职业教育，办好人民满意的教育。</w:t>
      </w:r>
    </w:p>
    <w:p>
      <w:pPr>
        <w:spacing w:line="500" w:lineRule="exact"/>
        <w:ind w:firstLine="560" w:firstLineChars="200"/>
        <w:jc w:val="left"/>
        <w:textAlignment w:val="baseline"/>
        <w:rPr>
          <w:rFonts w:ascii="宋体" w:hAnsi="宋体"/>
          <w:sz w:val="28"/>
          <w:szCs w:val="28"/>
        </w:rPr>
      </w:pPr>
    </w:p>
    <w:p>
      <w:pPr>
        <w:ind w:firstLine="723" w:firstLineChars="200"/>
        <w:jc w:val="center"/>
        <w:rPr>
          <w:rFonts w:hint="eastAsia" w:ascii="黑体" w:hAnsi="黑体" w:eastAsia="黑体" w:cs="黑体"/>
          <w:b/>
          <w:bCs/>
          <w:sz w:val="36"/>
          <w:szCs w:val="36"/>
        </w:rPr>
        <w:sectPr>
          <w:footerReference r:id="rId4" w:type="default"/>
          <w:pgSz w:w="11906" w:h="16838"/>
          <w:pgMar w:top="1418" w:right="1418" w:bottom="1418" w:left="1418" w:header="454" w:footer="1021" w:gutter="0"/>
          <w:pgNumType w:fmt="decimal" w:start="1"/>
          <w:cols w:space="720" w:num="1"/>
          <w:docGrid w:type="lines" w:linePitch="312" w:charSpace="0"/>
        </w:sectPr>
      </w:pPr>
    </w:p>
    <w:p>
      <w:pPr>
        <w:ind w:firstLine="723" w:firstLineChars="200"/>
        <w:jc w:val="center"/>
        <w:rPr>
          <w:rFonts w:ascii="黑体" w:hAnsi="黑体" w:eastAsia="黑体" w:cs="黑体"/>
          <w:b/>
          <w:bCs/>
          <w:sz w:val="36"/>
          <w:szCs w:val="36"/>
        </w:rPr>
      </w:pPr>
      <w:r>
        <w:rPr>
          <w:rFonts w:hint="eastAsia" w:ascii="黑体" w:hAnsi="黑体" w:eastAsia="黑体" w:cs="黑体"/>
          <w:b/>
          <w:bCs/>
          <w:sz w:val="36"/>
          <w:szCs w:val="36"/>
        </w:rPr>
        <w:t>目  录</w:t>
      </w:r>
    </w:p>
    <w:p>
      <w:pPr>
        <w:pStyle w:val="8"/>
        <w:tabs>
          <w:tab w:val="right" w:leader="dot" w:pos="9070"/>
        </w:tabs>
        <w:rPr>
          <w:rFonts w:hint="eastAsia" w:ascii="宋体" w:hAnsi="宋体" w:eastAsia="宋体" w:cs="宋体"/>
          <w:sz w:val="28"/>
          <w:szCs w:val="28"/>
        </w:rPr>
      </w:pPr>
      <w:r>
        <w:rPr>
          <w:rFonts w:hint="eastAsia" w:ascii="宋体" w:hAnsi="宋体" w:eastAsia="宋体" w:cs="宋体"/>
          <w:sz w:val="28"/>
          <w:szCs w:val="28"/>
          <w:shd w:val="clear" w:color="auto" w:fill="auto"/>
        </w:rPr>
        <w:fldChar w:fldCharType="begin"/>
      </w:r>
      <w:r>
        <w:rPr>
          <w:rFonts w:hint="eastAsia" w:ascii="宋体" w:hAnsi="宋体" w:eastAsia="宋体" w:cs="宋体"/>
          <w:sz w:val="28"/>
          <w:szCs w:val="28"/>
          <w:shd w:val="clear" w:color="auto" w:fill="auto"/>
        </w:rPr>
        <w:instrText xml:space="preserve"> TOC \o "1-3" \h \z \u </w:instrText>
      </w:r>
      <w:r>
        <w:rPr>
          <w:rFonts w:hint="eastAsia" w:ascii="宋体" w:hAnsi="宋体" w:eastAsia="宋体" w:cs="宋体"/>
          <w:sz w:val="28"/>
          <w:szCs w:val="28"/>
          <w:shd w:val="clear" w:color="auto" w:fill="auto"/>
        </w:rPr>
        <w:fldChar w:fldCharType="separate"/>
      </w:r>
      <w:r>
        <w:rPr>
          <w:rFonts w:hint="eastAsia" w:ascii="宋体" w:hAnsi="宋体" w:eastAsia="宋体" w:cs="宋体"/>
          <w:sz w:val="28"/>
          <w:szCs w:val="28"/>
          <w:shd w:val="clear" w:color="auto" w:fill="auto"/>
        </w:rPr>
        <w:fldChar w:fldCharType="begin"/>
      </w:r>
      <w:r>
        <w:rPr>
          <w:rFonts w:hint="eastAsia" w:ascii="宋体" w:hAnsi="宋体" w:eastAsia="宋体" w:cs="宋体"/>
          <w:sz w:val="28"/>
          <w:szCs w:val="28"/>
          <w:shd w:val="clear" w:color="auto" w:fill="auto"/>
        </w:rPr>
        <w:instrText xml:space="preserve"> HYPERLINK \l _Toc28833 </w:instrText>
      </w:r>
      <w:r>
        <w:rPr>
          <w:rFonts w:hint="eastAsia" w:ascii="宋体" w:hAnsi="宋体" w:eastAsia="宋体" w:cs="宋体"/>
          <w:sz w:val="28"/>
          <w:szCs w:val="28"/>
          <w:shd w:val="clear" w:color="auto" w:fill="auto"/>
        </w:rPr>
        <w:fldChar w:fldCharType="separate"/>
      </w:r>
      <w:r>
        <w:rPr>
          <w:rFonts w:hint="eastAsia" w:ascii="宋体" w:hAnsi="宋体" w:eastAsia="宋体" w:cs="宋体"/>
          <w:bCs w:val="0"/>
          <w:sz w:val="28"/>
          <w:szCs w:val="28"/>
        </w:rPr>
        <w:t>一、专业名称（专业代码）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_Toc28833 </w:instrText>
      </w:r>
      <w:r>
        <w:rPr>
          <w:rFonts w:hint="eastAsia" w:ascii="宋体" w:hAnsi="宋体" w:eastAsia="宋体" w:cs="宋体"/>
          <w:sz w:val="28"/>
          <w:szCs w:val="28"/>
        </w:rPr>
        <w:fldChar w:fldCharType="separate"/>
      </w:r>
      <w:r>
        <w:rPr>
          <w:rFonts w:hint="eastAsia" w:ascii="宋体" w:hAnsi="宋体" w:eastAsia="宋体" w:cs="宋体"/>
          <w:sz w:val="28"/>
          <w:szCs w:val="28"/>
        </w:rPr>
        <w:t>75</w:t>
      </w:r>
      <w:r>
        <w:rPr>
          <w:rFonts w:hint="eastAsia" w:ascii="宋体" w:hAnsi="宋体" w:eastAsia="宋体" w:cs="宋体"/>
          <w:sz w:val="28"/>
          <w:szCs w:val="28"/>
        </w:rPr>
        <w:fldChar w:fldCharType="end"/>
      </w:r>
      <w:r>
        <w:rPr>
          <w:rFonts w:hint="eastAsia" w:ascii="宋体" w:hAnsi="宋体" w:eastAsia="宋体" w:cs="宋体"/>
          <w:sz w:val="28"/>
          <w:szCs w:val="28"/>
          <w:shd w:val="clear" w:color="auto" w:fill="auto"/>
        </w:rPr>
        <w:fldChar w:fldCharType="end"/>
      </w:r>
    </w:p>
    <w:p>
      <w:pPr>
        <w:pStyle w:val="8"/>
        <w:tabs>
          <w:tab w:val="right" w:leader="dot" w:pos="9070"/>
        </w:tabs>
        <w:rPr>
          <w:rFonts w:hint="eastAsia" w:ascii="宋体" w:hAnsi="宋体" w:eastAsia="宋体" w:cs="宋体"/>
          <w:sz w:val="28"/>
          <w:szCs w:val="28"/>
        </w:rPr>
      </w:pPr>
      <w:r>
        <w:rPr>
          <w:rFonts w:hint="eastAsia" w:ascii="宋体" w:hAnsi="宋体" w:eastAsia="宋体" w:cs="宋体"/>
          <w:sz w:val="28"/>
          <w:szCs w:val="28"/>
          <w:shd w:val="clear" w:color="auto" w:fill="auto"/>
          <w:lang w:val="zh-CN"/>
        </w:rPr>
        <w:fldChar w:fldCharType="begin"/>
      </w:r>
      <w:r>
        <w:rPr>
          <w:rFonts w:hint="eastAsia" w:ascii="宋体" w:hAnsi="宋体" w:eastAsia="宋体" w:cs="宋体"/>
          <w:sz w:val="28"/>
          <w:szCs w:val="28"/>
          <w:shd w:val="clear" w:color="auto" w:fill="auto"/>
          <w:lang w:val="zh-CN"/>
        </w:rPr>
        <w:instrText xml:space="preserve"> HYPERLINK \l _Toc18010 </w:instrText>
      </w:r>
      <w:r>
        <w:rPr>
          <w:rFonts w:hint="eastAsia" w:ascii="宋体" w:hAnsi="宋体" w:eastAsia="宋体" w:cs="宋体"/>
          <w:sz w:val="28"/>
          <w:szCs w:val="28"/>
          <w:shd w:val="clear" w:color="auto" w:fill="auto"/>
          <w:lang w:val="zh-CN"/>
        </w:rPr>
        <w:fldChar w:fldCharType="separate"/>
      </w:r>
      <w:r>
        <w:rPr>
          <w:rFonts w:hint="eastAsia" w:ascii="宋体" w:hAnsi="宋体" w:eastAsia="宋体" w:cs="宋体"/>
          <w:bCs w:val="0"/>
          <w:sz w:val="28"/>
          <w:szCs w:val="28"/>
        </w:rPr>
        <w:t>二、入学要求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_Toc18010 </w:instrText>
      </w:r>
      <w:r>
        <w:rPr>
          <w:rFonts w:hint="eastAsia" w:ascii="宋体" w:hAnsi="宋体" w:eastAsia="宋体" w:cs="宋体"/>
          <w:sz w:val="28"/>
          <w:szCs w:val="28"/>
        </w:rPr>
        <w:fldChar w:fldCharType="separate"/>
      </w:r>
      <w:r>
        <w:rPr>
          <w:rFonts w:hint="eastAsia" w:ascii="宋体" w:hAnsi="宋体" w:eastAsia="宋体" w:cs="宋体"/>
          <w:sz w:val="28"/>
          <w:szCs w:val="28"/>
        </w:rPr>
        <w:t>75</w:t>
      </w:r>
      <w:r>
        <w:rPr>
          <w:rFonts w:hint="eastAsia" w:ascii="宋体" w:hAnsi="宋体" w:eastAsia="宋体" w:cs="宋体"/>
          <w:sz w:val="28"/>
          <w:szCs w:val="28"/>
        </w:rPr>
        <w:fldChar w:fldCharType="end"/>
      </w:r>
      <w:r>
        <w:rPr>
          <w:rFonts w:hint="eastAsia" w:ascii="宋体" w:hAnsi="宋体" w:eastAsia="宋体" w:cs="宋体"/>
          <w:sz w:val="28"/>
          <w:szCs w:val="28"/>
          <w:shd w:val="clear" w:color="auto" w:fill="auto"/>
          <w:lang w:val="zh-CN"/>
        </w:rPr>
        <w:fldChar w:fldCharType="end"/>
      </w:r>
    </w:p>
    <w:p>
      <w:pPr>
        <w:pStyle w:val="8"/>
        <w:tabs>
          <w:tab w:val="right" w:leader="dot" w:pos="9070"/>
        </w:tabs>
        <w:rPr>
          <w:rFonts w:hint="eastAsia" w:ascii="宋体" w:hAnsi="宋体" w:eastAsia="宋体" w:cs="宋体"/>
          <w:sz w:val="28"/>
          <w:szCs w:val="28"/>
        </w:rPr>
      </w:pPr>
      <w:r>
        <w:rPr>
          <w:rFonts w:hint="eastAsia" w:ascii="宋体" w:hAnsi="宋体" w:eastAsia="宋体" w:cs="宋体"/>
          <w:sz w:val="28"/>
          <w:szCs w:val="28"/>
          <w:shd w:val="clear" w:color="auto" w:fill="auto"/>
          <w:lang w:val="zh-CN"/>
        </w:rPr>
        <w:fldChar w:fldCharType="begin"/>
      </w:r>
      <w:r>
        <w:rPr>
          <w:rFonts w:hint="eastAsia" w:ascii="宋体" w:hAnsi="宋体" w:eastAsia="宋体" w:cs="宋体"/>
          <w:sz w:val="28"/>
          <w:szCs w:val="28"/>
          <w:shd w:val="clear" w:color="auto" w:fill="auto"/>
          <w:lang w:val="zh-CN"/>
        </w:rPr>
        <w:instrText xml:space="preserve"> HYPERLINK \l _Toc14076 </w:instrText>
      </w:r>
      <w:r>
        <w:rPr>
          <w:rFonts w:hint="eastAsia" w:ascii="宋体" w:hAnsi="宋体" w:eastAsia="宋体" w:cs="宋体"/>
          <w:sz w:val="28"/>
          <w:szCs w:val="28"/>
          <w:shd w:val="clear" w:color="auto" w:fill="auto"/>
          <w:lang w:val="zh-CN"/>
        </w:rPr>
        <w:fldChar w:fldCharType="separate"/>
      </w:r>
      <w:r>
        <w:rPr>
          <w:rFonts w:hint="eastAsia" w:ascii="宋体" w:hAnsi="宋体" w:eastAsia="宋体" w:cs="宋体"/>
          <w:bCs w:val="0"/>
          <w:sz w:val="28"/>
          <w:szCs w:val="28"/>
        </w:rPr>
        <w:t>三、修业年限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_Toc14076 </w:instrText>
      </w:r>
      <w:r>
        <w:rPr>
          <w:rFonts w:hint="eastAsia" w:ascii="宋体" w:hAnsi="宋体" w:eastAsia="宋体" w:cs="宋体"/>
          <w:sz w:val="28"/>
          <w:szCs w:val="28"/>
        </w:rPr>
        <w:fldChar w:fldCharType="separate"/>
      </w:r>
      <w:r>
        <w:rPr>
          <w:rFonts w:hint="eastAsia" w:ascii="宋体" w:hAnsi="宋体" w:eastAsia="宋体" w:cs="宋体"/>
          <w:sz w:val="28"/>
          <w:szCs w:val="28"/>
        </w:rPr>
        <w:t>75</w:t>
      </w:r>
      <w:r>
        <w:rPr>
          <w:rFonts w:hint="eastAsia" w:ascii="宋体" w:hAnsi="宋体" w:eastAsia="宋体" w:cs="宋体"/>
          <w:sz w:val="28"/>
          <w:szCs w:val="28"/>
        </w:rPr>
        <w:fldChar w:fldCharType="end"/>
      </w:r>
      <w:r>
        <w:rPr>
          <w:rFonts w:hint="eastAsia" w:ascii="宋体" w:hAnsi="宋体" w:eastAsia="宋体" w:cs="宋体"/>
          <w:sz w:val="28"/>
          <w:szCs w:val="28"/>
          <w:shd w:val="clear" w:color="auto" w:fill="auto"/>
          <w:lang w:val="zh-CN"/>
        </w:rPr>
        <w:fldChar w:fldCharType="end"/>
      </w:r>
    </w:p>
    <w:p>
      <w:pPr>
        <w:pStyle w:val="8"/>
        <w:tabs>
          <w:tab w:val="right" w:leader="dot" w:pos="9070"/>
        </w:tabs>
        <w:rPr>
          <w:rFonts w:hint="eastAsia" w:ascii="宋体" w:hAnsi="宋体" w:eastAsia="宋体" w:cs="宋体"/>
          <w:sz w:val="28"/>
          <w:szCs w:val="28"/>
        </w:rPr>
      </w:pPr>
      <w:r>
        <w:rPr>
          <w:rFonts w:hint="eastAsia" w:ascii="宋体" w:hAnsi="宋体" w:eastAsia="宋体" w:cs="宋体"/>
          <w:sz w:val="28"/>
          <w:szCs w:val="28"/>
          <w:shd w:val="clear" w:color="auto" w:fill="auto"/>
          <w:lang w:val="zh-CN"/>
        </w:rPr>
        <w:fldChar w:fldCharType="begin"/>
      </w:r>
      <w:r>
        <w:rPr>
          <w:rFonts w:hint="eastAsia" w:ascii="宋体" w:hAnsi="宋体" w:eastAsia="宋体" w:cs="宋体"/>
          <w:sz w:val="28"/>
          <w:szCs w:val="28"/>
          <w:shd w:val="clear" w:color="auto" w:fill="auto"/>
          <w:lang w:val="zh-CN"/>
        </w:rPr>
        <w:instrText xml:space="preserve"> HYPERLINK \l _Toc10976 </w:instrText>
      </w:r>
      <w:r>
        <w:rPr>
          <w:rFonts w:hint="eastAsia" w:ascii="宋体" w:hAnsi="宋体" w:eastAsia="宋体" w:cs="宋体"/>
          <w:sz w:val="28"/>
          <w:szCs w:val="28"/>
          <w:shd w:val="clear" w:color="auto" w:fill="auto"/>
          <w:lang w:val="zh-CN"/>
        </w:rPr>
        <w:fldChar w:fldCharType="separate"/>
      </w:r>
      <w:r>
        <w:rPr>
          <w:rFonts w:hint="eastAsia" w:ascii="宋体" w:hAnsi="宋体" w:eastAsia="宋体" w:cs="宋体"/>
          <w:bCs w:val="0"/>
          <w:sz w:val="28"/>
          <w:szCs w:val="28"/>
        </w:rPr>
        <w:t>四、职业面向</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_Toc10976 </w:instrText>
      </w:r>
      <w:r>
        <w:rPr>
          <w:rFonts w:hint="eastAsia" w:ascii="宋体" w:hAnsi="宋体" w:eastAsia="宋体" w:cs="宋体"/>
          <w:sz w:val="28"/>
          <w:szCs w:val="28"/>
        </w:rPr>
        <w:fldChar w:fldCharType="separate"/>
      </w:r>
      <w:r>
        <w:rPr>
          <w:rFonts w:hint="eastAsia" w:ascii="宋体" w:hAnsi="宋体" w:eastAsia="宋体" w:cs="宋体"/>
          <w:sz w:val="28"/>
          <w:szCs w:val="28"/>
        </w:rPr>
        <w:t>75</w:t>
      </w:r>
      <w:r>
        <w:rPr>
          <w:rFonts w:hint="eastAsia" w:ascii="宋体" w:hAnsi="宋体" w:eastAsia="宋体" w:cs="宋体"/>
          <w:sz w:val="28"/>
          <w:szCs w:val="28"/>
        </w:rPr>
        <w:fldChar w:fldCharType="end"/>
      </w:r>
      <w:r>
        <w:rPr>
          <w:rFonts w:hint="eastAsia" w:ascii="宋体" w:hAnsi="宋体" w:eastAsia="宋体" w:cs="宋体"/>
          <w:sz w:val="28"/>
          <w:szCs w:val="28"/>
          <w:shd w:val="clear" w:color="auto" w:fill="auto"/>
          <w:lang w:val="zh-CN"/>
        </w:rPr>
        <w:fldChar w:fldCharType="end"/>
      </w:r>
    </w:p>
    <w:p>
      <w:pPr>
        <w:pStyle w:val="8"/>
        <w:tabs>
          <w:tab w:val="right" w:leader="dot" w:pos="9070"/>
        </w:tabs>
        <w:rPr>
          <w:rFonts w:hint="eastAsia" w:ascii="宋体" w:hAnsi="宋体" w:eastAsia="宋体" w:cs="宋体"/>
          <w:sz w:val="28"/>
          <w:szCs w:val="28"/>
        </w:rPr>
      </w:pPr>
      <w:r>
        <w:rPr>
          <w:rFonts w:hint="eastAsia" w:ascii="宋体" w:hAnsi="宋体" w:eastAsia="宋体" w:cs="宋体"/>
          <w:sz w:val="28"/>
          <w:szCs w:val="28"/>
          <w:shd w:val="clear" w:color="auto" w:fill="auto"/>
          <w:lang w:val="zh-CN"/>
        </w:rPr>
        <w:fldChar w:fldCharType="begin"/>
      </w:r>
      <w:r>
        <w:rPr>
          <w:rFonts w:hint="eastAsia" w:ascii="宋体" w:hAnsi="宋体" w:eastAsia="宋体" w:cs="宋体"/>
          <w:sz w:val="28"/>
          <w:szCs w:val="28"/>
          <w:shd w:val="clear" w:color="auto" w:fill="auto"/>
          <w:lang w:val="zh-CN"/>
        </w:rPr>
        <w:instrText xml:space="preserve"> HYPERLINK \l _Toc27723 </w:instrText>
      </w:r>
      <w:r>
        <w:rPr>
          <w:rFonts w:hint="eastAsia" w:ascii="宋体" w:hAnsi="宋体" w:eastAsia="宋体" w:cs="宋体"/>
          <w:sz w:val="28"/>
          <w:szCs w:val="28"/>
          <w:shd w:val="clear" w:color="auto" w:fill="auto"/>
          <w:lang w:val="zh-CN"/>
        </w:rPr>
        <w:fldChar w:fldCharType="separate"/>
      </w:r>
      <w:r>
        <w:rPr>
          <w:rFonts w:hint="eastAsia" w:ascii="宋体" w:hAnsi="宋体" w:eastAsia="宋体" w:cs="宋体"/>
          <w:bCs w:val="0"/>
          <w:sz w:val="28"/>
          <w:szCs w:val="28"/>
        </w:rPr>
        <w:t>五、培养目标与培养规格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_Toc27723 </w:instrText>
      </w:r>
      <w:r>
        <w:rPr>
          <w:rFonts w:hint="eastAsia" w:ascii="宋体" w:hAnsi="宋体" w:eastAsia="宋体" w:cs="宋体"/>
          <w:sz w:val="28"/>
          <w:szCs w:val="28"/>
        </w:rPr>
        <w:fldChar w:fldCharType="separate"/>
      </w:r>
      <w:r>
        <w:rPr>
          <w:rFonts w:hint="eastAsia" w:ascii="宋体" w:hAnsi="宋体" w:eastAsia="宋体" w:cs="宋体"/>
          <w:sz w:val="28"/>
          <w:szCs w:val="28"/>
        </w:rPr>
        <w:t>75</w:t>
      </w:r>
      <w:r>
        <w:rPr>
          <w:rFonts w:hint="eastAsia" w:ascii="宋体" w:hAnsi="宋体" w:eastAsia="宋体" w:cs="宋体"/>
          <w:sz w:val="28"/>
          <w:szCs w:val="28"/>
        </w:rPr>
        <w:fldChar w:fldCharType="end"/>
      </w:r>
      <w:r>
        <w:rPr>
          <w:rFonts w:hint="eastAsia" w:ascii="宋体" w:hAnsi="宋体" w:eastAsia="宋体" w:cs="宋体"/>
          <w:sz w:val="28"/>
          <w:szCs w:val="28"/>
          <w:shd w:val="clear" w:color="auto" w:fill="auto"/>
          <w:lang w:val="zh-CN"/>
        </w:rPr>
        <w:fldChar w:fldCharType="end"/>
      </w:r>
    </w:p>
    <w:p>
      <w:pPr>
        <w:pStyle w:val="8"/>
        <w:tabs>
          <w:tab w:val="right" w:leader="dot" w:pos="9070"/>
        </w:tabs>
        <w:rPr>
          <w:rFonts w:hint="eastAsia" w:ascii="宋体" w:hAnsi="宋体" w:eastAsia="宋体" w:cs="宋体"/>
          <w:sz w:val="28"/>
          <w:szCs w:val="28"/>
        </w:rPr>
      </w:pPr>
      <w:r>
        <w:rPr>
          <w:rFonts w:hint="eastAsia" w:ascii="宋体" w:hAnsi="宋体" w:eastAsia="宋体" w:cs="宋体"/>
          <w:sz w:val="28"/>
          <w:szCs w:val="28"/>
          <w:shd w:val="clear" w:color="auto" w:fill="auto"/>
          <w:lang w:val="zh-CN"/>
        </w:rPr>
        <w:fldChar w:fldCharType="begin"/>
      </w:r>
      <w:r>
        <w:rPr>
          <w:rFonts w:hint="eastAsia" w:ascii="宋体" w:hAnsi="宋体" w:eastAsia="宋体" w:cs="宋体"/>
          <w:sz w:val="28"/>
          <w:szCs w:val="28"/>
          <w:shd w:val="clear" w:color="auto" w:fill="auto"/>
          <w:lang w:val="zh-CN"/>
        </w:rPr>
        <w:instrText xml:space="preserve"> HYPERLINK \l _Toc17786 </w:instrText>
      </w:r>
      <w:r>
        <w:rPr>
          <w:rFonts w:hint="eastAsia" w:ascii="宋体" w:hAnsi="宋体" w:eastAsia="宋体" w:cs="宋体"/>
          <w:sz w:val="28"/>
          <w:szCs w:val="28"/>
          <w:shd w:val="clear" w:color="auto" w:fill="auto"/>
          <w:lang w:val="zh-CN"/>
        </w:rPr>
        <w:fldChar w:fldCharType="separate"/>
      </w:r>
      <w:r>
        <w:rPr>
          <w:rFonts w:hint="eastAsia" w:ascii="宋体" w:hAnsi="宋体" w:eastAsia="宋体" w:cs="宋体"/>
          <w:sz w:val="28"/>
          <w:szCs w:val="28"/>
        </w:rPr>
        <w:t xml:space="preserve">六、 </w:t>
      </w:r>
      <w:r>
        <w:rPr>
          <w:rFonts w:hint="eastAsia" w:ascii="宋体" w:hAnsi="宋体" w:eastAsia="宋体" w:cs="宋体"/>
          <w:bCs w:val="0"/>
          <w:sz w:val="28"/>
          <w:szCs w:val="28"/>
        </w:rPr>
        <w:t>课程设置及要求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_Toc17786 </w:instrText>
      </w:r>
      <w:r>
        <w:rPr>
          <w:rFonts w:hint="eastAsia" w:ascii="宋体" w:hAnsi="宋体" w:eastAsia="宋体" w:cs="宋体"/>
          <w:sz w:val="28"/>
          <w:szCs w:val="28"/>
        </w:rPr>
        <w:fldChar w:fldCharType="separate"/>
      </w:r>
      <w:r>
        <w:rPr>
          <w:rFonts w:hint="eastAsia" w:ascii="宋体" w:hAnsi="宋体" w:eastAsia="宋体" w:cs="宋体"/>
          <w:sz w:val="28"/>
          <w:szCs w:val="28"/>
        </w:rPr>
        <w:t>78</w:t>
      </w:r>
      <w:r>
        <w:rPr>
          <w:rFonts w:hint="eastAsia" w:ascii="宋体" w:hAnsi="宋体" w:eastAsia="宋体" w:cs="宋体"/>
          <w:sz w:val="28"/>
          <w:szCs w:val="28"/>
        </w:rPr>
        <w:fldChar w:fldCharType="end"/>
      </w:r>
      <w:r>
        <w:rPr>
          <w:rFonts w:hint="eastAsia" w:ascii="宋体" w:hAnsi="宋体" w:eastAsia="宋体" w:cs="宋体"/>
          <w:sz w:val="28"/>
          <w:szCs w:val="28"/>
          <w:shd w:val="clear" w:color="auto" w:fill="auto"/>
          <w:lang w:val="zh-CN"/>
        </w:rPr>
        <w:fldChar w:fldCharType="end"/>
      </w:r>
    </w:p>
    <w:p>
      <w:pPr>
        <w:pStyle w:val="8"/>
        <w:tabs>
          <w:tab w:val="right" w:leader="dot" w:pos="9070"/>
        </w:tabs>
        <w:rPr>
          <w:rFonts w:hint="eastAsia" w:ascii="宋体" w:hAnsi="宋体" w:eastAsia="宋体" w:cs="宋体"/>
          <w:sz w:val="28"/>
          <w:szCs w:val="28"/>
        </w:rPr>
      </w:pPr>
      <w:r>
        <w:rPr>
          <w:rFonts w:hint="eastAsia" w:ascii="宋体" w:hAnsi="宋体" w:eastAsia="宋体" w:cs="宋体"/>
          <w:sz w:val="28"/>
          <w:szCs w:val="28"/>
          <w:shd w:val="clear" w:color="auto" w:fill="auto"/>
          <w:lang w:val="zh-CN"/>
        </w:rPr>
        <w:fldChar w:fldCharType="begin"/>
      </w:r>
      <w:r>
        <w:rPr>
          <w:rFonts w:hint="eastAsia" w:ascii="宋体" w:hAnsi="宋体" w:eastAsia="宋体" w:cs="宋体"/>
          <w:sz w:val="28"/>
          <w:szCs w:val="28"/>
          <w:shd w:val="clear" w:color="auto" w:fill="auto"/>
          <w:lang w:val="zh-CN"/>
        </w:rPr>
        <w:instrText xml:space="preserve"> HYPERLINK \l _Toc17292 </w:instrText>
      </w:r>
      <w:r>
        <w:rPr>
          <w:rFonts w:hint="eastAsia" w:ascii="宋体" w:hAnsi="宋体" w:eastAsia="宋体" w:cs="宋体"/>
          <w:sz w:val="28"/>
          <w:szCs w:val="28"/>
          <w:shd w:val="clear" w:color="auto" w:fill="auto"/>
          <w:lang w:val="zh-CN"/>
        </w:rPr>
        <w:fldChar w:fldCharType="separate"/>
      </w:r>
      <w:r>
        <w:rPr>
          <w:rFonts w:hint="eastAsia" w:ascii="宋体" w:hAnsi="宋体" w:eastAsia="宋体" w:cs="宋体"/>
          <w:bCs w:val="0"/>
          <w:sz w:val="28"/>
          <w:szCs w:val="28"/>
        </w:rPr>
        <w:t>七、教学进程总体安排</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_Toc17292 </w:instrText>
      </w:r>
      <w:r>
        <w:rPr>
          <w:rFonts w:hint="eastAsia" w:ascii="宋体" w:hAnsi="宋体" w:eastAsia="宋体" w:cs="宋体"/>
          <w:sz w:val="28"/>
          <w:szCs w:val="28"/>
        </w:rPr>
        <w:fldChar w:fldCharType="separate"/>
      </w:r>
      <w:r>
        <w:rPr>
          <w:rFonts w:hint="eastAsia" w:ascii="宋体" w:hAnsi="宋体" w:eastAsia="宋体" w:cs="宋体"/>
          <w:sz w:val="28"/>
          <w:szCs w:val="28"/>
        </w:rPr>
        <w:t>87</w:t>
      </w:r>
      <w:r>
        <w:rPr>
          <w:rFonts w:hint="eastAsia" w:ascii="宋体" w:hAnsi="宋体" w:eastAsia="宋体" w:cs="宋体"/>
          <w:sz w:val="28"/>
          <w:szCs w:val="28"/>
        </w:rPr>
        <w:fldChar w:fldCharType="end"/>
      </w:r>
      <w:r>
        <w:rPr>
          <w:rFonts w:hint="eastAsia" w:ascii="宋体" w:hAnsi="宋体" w:eastAsia="宋体" w:cs="宋体"/>
          <w:sz w:val="28"/>
          <w:szCs w:val="28"/>
          <w:shd w:val="clear" w:color="auto" w:fill="auto"/>
          <w:lang w:val="zh-CN"/>
        </w:rPr>
        <w:fldChar w:fldCharType="end"/>
      </w:r>
    </w:p>
    <w:p>
      <w:pPr>
        <w:pStyle w:val="8"/>
        <w:tabs>
          <w:tab w:val="right" w:leader="dot" w:pos="9070"/>
        </w:tabs>
        <w:rPr>
          <w:rFonts w:hint="eastAsia" w:ascii="宋体" w:hAnsi="宋体" w:eastAsia="宋体" w:cs="宋体"/>
          <w:sz w:val="28"/>
          <w:szCs w:val="28"/>
        </w:rPr>
      </w:pPr>
      <w:r>
        <w:rPr>
          <w:rFonts w:hint="eastAsia" w:ascii="宋体" w:hAnsi="宋体" w:eastAsia="宋体" w:cs="宋体"/>
          <w:sz w:val="28"/>
          <w:szCs w:val="28"/>
          <w:shd w:val="clear" w:color="auto" w:fill="auto"/>
          <w:lang w:val="zh-CN"/>
        </w:rPr>
        <w:fldChar w:fldCharType="begin"/>
      </w:r>
      <w:r>
        <w:rPr>
          <w:rFonts w:hint="eastAsia" w:ascii="宋体" w:hAnsi="宋体" w:eastAsia="宋体" w:cs="宋体"/>
          <w:sz w:val="28"/>
          <w:szCs w:val="28"/>
          <w:shd w:val="clear" w:color="auto" w:fill="auto"/>
          <w:lang w:val="zh-CN"/>
        </w:rPr>
        <w:instrText xml:space="preserve"> HYPERLINK \l _Toc18083 </w:instrText>
      </w:r>
      <w:r>
        <w:rPr>
          <w:rFonts w:hint="eastAsia" w:ascii="宋体" w:hAnsi="宋体" w:eastAsia="宋体" w:cs="宋体"/>
          <w:sz w:val="28"/>
          <w:szCs w:val="28"/>
          <w:shd w:val="clear" w:color="auto" w:fill="auto"/>
          <w:lang w:val="zh-CN"/>
        </w:rPr>
        <w:fldChar w:fldCharType="separate"/>
      </w:r>
      <w:r>
        <w:rPr>
          <w:rFonts w:hint="eastAsia" w:ascii="宋体" w:hAnsi="宋体" w:eastAsia="宋体" w:cs="宋体"/>
          <w:bCs w:val="0"/>
          <w:sz w:val="28"/>
          <w:szCs w:val="28"/>
        </w:rPr>
        <w:t>八、实施保障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_Toc18083 </w:instrText>
      </w:r>
      <w:r>
        <w:rPr>
          <w:rFonts w:hint="eastAsia" w:ascii="宋体" w:hAnsi="宋体" w:eastAsia="宋体" w:cs="宋体"/>
          <w:sz w:val="28"/>
          <w:szCs w:val="28"/>
        </w:rPr>
        <w:fldChar w:fldCharType="separate"/>
      </w:r>
      <w:r>
        <w:rPr>
          <w:rFonts w:hint="eastAsia" w:ascii="宋体" w:hAnsi="宋体" w:eastAsia="宋体" w:cs="宋体"/>
          <w:sz w:val="28"/>
          <w:szCs w:val="28"/>
        </w:rPr>
        <w:t>89</w:t>
      </w:r>
      <w:r>
        <w:rPr>
          <w:rFonts w:hint="eastAsia" w:ascii="宋体" w:hAnsi="宋体" w:eastAsia="宋体" w:cs="宋体"/>
          <w:sz w:val="28"/>
          <w:szCs w:val="28"/>
        </w:rPr>
        <w:fldChar w:fldCharType="end"/>
      </w:r>
      <w:r>
        <w:rPr>
          <w:rFonts w:hint="eastAsia" w:ascii="宋体" w:hAnsi="宋体" w:eastAsia="宋体" w:cs="宋体"/>
          <w:sz w:val="28"/>
          <w:szCs w:val="28"/>
          <w:shd w:val="clear" w:color="auto" w:fill="auto"/>
          <w:lang w:val="zh-CN"/>
        </w:rPr>
        <w:fldChar w:fldCharType="end"/>
      </w:r>
    </w:p>
    <w:p>
      <w:pPr>
        <w:pStyle w:val="8"/>
        <w:tabs>
          <w:tab w:val="right" w:leader="dot" w:pos="9070"/>
        </w:tabs>
        <w:rPr>
          <w:rFonts w:hint="eastAsia" w:ascii="宋体" w:hAnsi="宋体" w:eastAsia="宋体" w:cs="宋体"/>
          <w:sz w:val="28"/>
          <w:szCs w:val="28"/>
        </w:rPr>
      </w:pPr>
      <w:r>
        <w:rPr>
          <w:rFonts w:hint="eastAsia" w:ascii="宋体" w:hAnsi="宋体" w:eastAsia="宋体" w:cs="宋体"/>
          <w:sz w:val="28"/>
          <w:szCs w:val="28"/>
          <w:shd w:val="clear" w:color="auto" w:fill="auto"/>
          <w:lang w:val="zh-CN"/>
        </w:rPr>
        <w:fldChar w:fldCharType="begin"/>
      </w:r>
      <w:r>
        <w:rPr>
          <w:rFonts w:hint="eastAsia" w:ascii="宋体" w:hAnsi="宋体" w:eastAsia="宋体" w:cs="宋体"/>
          <w:sz w:val="28"/>
          <w:szCs w:val="28"/>
          <w:shd w:val="clear" w:color="auto" w:fill="auto"/>
          <w:lang w:val="zh-CN"/>
        </w:rPr>
        <w:instrText xml:space="preserve"> HYPERLINK \l _Toc14055 </w:instrText>
      </w:r>
      <w:r>
        <w:rPr>
          <w:rFonts w:hint="eastAsia" w:ascii="宋体" w:hAnsi="宋体" w:eastAsia="宋体" w:cs="宋体"/>
          <w:sz w:val="28"/>
          <w:szCs w:val="28"/>
          <w:shd w:val="clear" w:color="auto" w:fill="auto"/>
          <w:lang w:val="zh-CN"/>
        </w:rPr>
        <w:fldChar w:fldCharType="separate"/>
      </w:r>
      <w:r>
        <w:rPr>
          <w:rFonts w:hint="eastAsia" w:ascii="宋体" w:hAnsi="宋体" w:eastAsia="宋体" w:cs="宋体"/>
          <w:bCs w:val="0"/>
          <w:sz w:val="28"/>
          <w:szCs w:val="28"/>
        </w:rPr>
        <w:t>九、毕业要求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_Toc14055 </w:instrText>
      </w:r>
      <w:r>
        <w:rPr>
          <w:rFonts w:hint="eastAsia" w:ascii="宋体" w:hAnsi="宋体" w:eastAsia="宋体" w:cs="宋体"/>
          <w:sz w:val="28"/>
          <w:szCs w:val="28"/>
        </w:rPr>
        <w:fldChar w:fldCharType="separate"/>
      </w:r>
      <w:r>
        <w:rPr>
          <w:rFonts w:hint="eastAsia" w:ascii="宋体" w:hAnsi="宋体" w:eastAsia="宋体" w:cs="宋体"/>
          <w:sz w:val="28"/>
          <w:szCs w:val="28"/>
        </w:rPr>
        <w:t>95</w:t>
      </w:r>
      <w:r>
        <w:rPr>
          <w:rFonts w:hint="eastAsia" w:ascii="宋体" w:hAnsi="宋体" w:eastAsia="宋体" w:cs="宋体"/>
          <w:sz w:val="28"/>
          <w:szCs w:val="28"/>
        </w:rPr>
        <w:fldChar w:fldCharType="end"/>
      </w:r>
      <w:r>
        <w:rPr>
          <w:rFonts w:hint="eastAsia" w:ascii="宋体" w:hAnsi="宋体" w:eastAsia="宋体" w:cs="宋体"/>
          <w:sz w:val="28"/>
          <w:szCs w:val="28"/>
          <w:shd w:val="clear" w:color="auto" w:fill="auto"/>
          <w:lang w:val="zh-CN"/>
        </w:rPr>
        <w:fldChar w:fldCharType="end"/>
      </w:r>
    </w:p>
    <w:p>
      <w:pPr>
        <w:pStyle w:val="8"/>
        <w:tabs>
          <w:tab w:val="right" w:leader="dot" w:pos="9070"/>
        </w:tabs>
        <w:rPr>
          <w:rFonts w:hint="eastAsia" w:ascii="宋体" w:hAnsi="宋体" w:eastAsia="宋体" w:cs="宋体"/>
          <w:sz w:val="28"/>
          <w:szCs w:val="28"/>
        </w:rPr>
      </w:pPr>
      <w:r>
        <w:rPr>
          <w:rFonts w:hint="eastAsia" w:ascii="宋体" w:hAnsi="宋体" w:eastAsia="宋体" w:cs="宋体"/>
          <w:sz w:val="28"/>
          <w:szCs w:val="28"/>
          <w:shd w:val="clear" w:color="auto" w:fill="auto"/>
          <w:lang w:val="zh-CN"/>
        </w:rPr>
        <w:fldChar w:fldCharType="begin"/>
      </w:r>
      <w:r>
        <w:rPr>
          <w:rFonts w:hint="eastAsia" w:ascii="宋体" w:hAnsi="宋体" w:eastAsia="宋体" w:cs="宋体"/>
          <w:sz w:val="28"/>
          <w:szCs w:val="28"/>
          <w:shd w:val="clear" w:color="auto" w:fill="auto"/>
          <w:lang w:val="zh-CN"/>
        </w:rPr>
        <w:instrText xml:space="preserve"> HYPERLINK \l _Toc25910 </w:instrText>
      </w:r>
      <w:r>
        <w:rPr>
          <w:rFonts w:hint="eastAsia" w:ascii="宋体" w:hAnsi="宋体" w:eastAsia="宋体" w:cs="宋体"/>
          <w:sz w:val="28"/>
          <w:szCs w:val="28"/>
          <w:shd w:val="clear" w:color="auto" w:fill="auto"/>
          <w:lang w:val="zh-CN"/>
        </w:rPr>
        <w:fldChar w:fldCharType="separate"/>
      </w:r>
      <w:r>
        <w:rPr>
          <w:rFonts w:hint="eastAsia" w:ascii="宋体" w:hAnsi="宋体" w:eastAsia="宋体" w:cs="宋体"/>
          <w:bCs w:val="0"/>
          <w:sz w:val="28"/>
          <w:szCs w:val="28"/>
          <w:lang w:val="en-US" w:eastAsia="zh-CN"/>
        </w:rPr>
        <w:t>十、</w:t>
      </w:r>
      <w:r>
        <w:rPr>
          <w:rFonts w:hint="eastAsia" w:ascii="宋体" w:hAnsi="宋体" w:eastAsia="宋体" w:cs="宋体"/>
          <w:bCs w:val="0"/>
          <w:sz w:val="28"/>
          <w:szCs w:val="28"/>
        </w:rPr>
        <w:t>附录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_Toc25910 </w:instrText>
      </w:r>
      <w:r>
        <w:rPr>
          <w:rFonts w:hint="eastAsia" w:ascii="宋体" w:hAnsi="宋体" w:eastAsia="宋体" w:cs="宋体"/>
          <w:sz w:val="28"/>
          <w:szCs w:val="28"/>
        </w:rPr>
        <w:fldChar w:fldCharType="separate"/>
      </w:r>
      <w:r>
        <w:rPr>
          <w:rFonts w:hint="eastAsia" w:ascii="宋体" w:hAnsi="宋体" w:eastAsia="宋体" w:cs="宋体"/>
          <w:sz w:val="28"/>
          <w:szCs w:val="28"/>
        </w:rPr>
        <w:t>96</w:t>
      </w:r>
      <w:r>
        <w:rPr>
          <w:rFonts w:hint="eastAsia" w:ascii="宋体" w:hAnsi="宋体" w:eastAsia="宋体" w:cs="宋体"/>
          <w:sz w:val="28"/>
          <w:szCs w:val="28"/>
        </w:rPr>
        <w:fldChar w:fldCharType="end"/>
      </w:r>
      <w:r>
        <w:rPr>
          <w:rFonts w:hint="eastAsia" w:ascii="宋体" w:hAnsi="宋体" w:eastAsia="宋体" w:cs="宋体"/>
          <w:sz w:val="28"/>
          <w:szCs w:val="28"/>
          <w:shd w:val="clear" w:color="auto" w:fill="auto"/>
          <w:lang w:val="zh-CN"/>
        </w:rPr>
        <w:fldChar w:fldCharType="end"/>
      </w:r>
    </w:p>
    <w:p>
      <w:pPr>
        <w:pStyle w:val="8"/>
        <w:tabs>
          <w:tab w:val="right" w:leader="dot" w:pos="9060"/>
        </w:tabs>
        <w:rPr>
          <w:sz w:val="28"/>
          <w:szCs w:val="28"/>
        </w:rPr>
      </w:pPr>
      <w:r>
        <w:rPr>
          <w:rFonts w:hint="eastAsia" w:ascii="宋体" w:hAnsi="宋体" w:eastAsia="宋体" w:cs="宋体"/>
          <w:sz w:val="28"/>
          <w:szCs w:val="28"/>
          <w:shd w:val="clear" w:color="auto" w:fill="auto"/>
          <w:lang w:val="zh-CN"/>
        </w:rPr>
        <w:fldChar w:fldCharType="end"/>
      </w:r>
    </w:p>
    <w:p>
      <w:pPr>
        <w:pStyle w:val="3"/>
        <w:spacing w:after="0" w:line="240" w:lineRule="auto"/>
        <w:ind w:firstLine="720" w:firstLineChars="200"/>
        <w:jc w:val="left"/>
        <w:sectPr>
          <w:footerReference r:id="rId5" w:type="default"/>
          <w:pgSz w:w="11906" w:h="16838"/>
          <w:pgMar w:top="1418" w:right="1418" w:bottom="1418" w:left="1418" w:header="454" w:footer="1021" w:gutter="0"/>
          <w:pgNumType w:fmt="decimal" w:start="1"/>
          <w:cols w:space="720" w:num="1"/>
          <w:docGrid w:type="lines" w:linePitch="312" w:charSpace="0"/>
        </w:sectPr>
      </w:pPr>
    </w:p>
    <w:p>
      <w:pPr>
        <w:bidi w:val="0"/>
        <w:jc w:val="center"/>
        <w:rPr>
          <w:rFonts w:hint="eastAsia" w:ascii="黑体" w:hAnsi="黑体" w:eastAsia="黑体" w:cs="黑体"/>
          <w:b/>
          <w:bCs/>
          <w:sz w:val="36"/>
          <w:szCs w:val="36"/>
        </w:rPr>
        <w:sectPr>
          <w:footerReference r:id="rId6" w:type="default"/>
          <w:pgSz w:w="11906" w:h="16838"/>
          <w:pgMar w:top="1440" w:right="1800" w:bottom="1440" w:left="1800" w:header="851" w:footer="992" w:gutter="0"/>
          <w:pgNumType w:fmt="decimal"/>
          <w:cols w:space="425" w:num="1"/>
          <w:docGrid w:type="lines" w:linePitch="312" w:charSpace="0"/>
        </w:sectPr>
      </w:pPr>
    </w:p>
    <w:p>
      <w:pPr>
        <w:bidi w:val="0"/>
        <w:jc w:val="center"/>
        <w:rPr>
          <w:rFonts w:hint="eastAsia" w:ascii="黑体" w:hAnsi="黑体" w:eastAsia="黑体" w:cs="黑体"/>
          <w:b/>
          <w:bCs/>
          <w:sz w:val="36"/>
          <w:szCs w:val="36"/>
        </w:rPr>
      </w:pPr>
      <w:r>
        <w:rPr>
          <w:rFonts w:hint="eastAsia" w:ascii="黑体" w:hAnsi="黑体" w:eastAsia="黑体" w:cs="黑体"/>
          <w:b/>
          <w:bCs/>
          <w:sz w:val="36"/>
          <w:szCs w:val="36"/>
        </w:rPr>
        <w:t>数控技术应用专业人才培养方案</w:t>
      </w:r>
    </w:p>
    <w:p/>
    <w:p>
      <w:pPr>
        <w:pStyle w:val="3"/>
        <w:spacing w:after="0" w:line="500" w:lineRule="exact"/>
        <w:ind w:firstLine="562" w:firstLineChars="200"/>
        <w:jc w:val="left"/>
        <w:rPr>
          <w:rFonts w:ascii="黑体" w:hAnsi="黑体" w:eastAsia="黑体"/>
          <w:b/>
          <w:bCs w:val="0"/>
          <w:sz w:val="28"/>
          <w:szCs w:val="28"/>
        </w:rPr>
      </w:pPr>
      <w:bookmarkStart w:id="0" w:name="_Toc28833"/>
      <w:r>
        <w:rPr>
          <w:rFonts w:hint="eastAsia" w:ascii="黑体" w:hAnsi="黑体" w:eastAsia="黑体"/>
          <w:b/>
          <w:bCs w:val="0"/>
          <w:sz w:val="28"/>
          <w:szCs w:val="28"/>
        </w:rPr>
        <w:t>一、专业名称（专业代码）</w:t>
      </w:r>
      <w:bookmarkEnd w:id="0"/>
    </w:p>
    <w:p>
      <w:pPr>
        <w:spacing w:line="500" w:lineRule="exact"/>
        <w:ind w:firstLine="560" w:firstLineChars="200"/>
        <w:jc w:val="left"/>
        <w:rPr>
          <w:rFonts w:ascii="宋体" w:hAnsi="宋体"/>
          <w:sz w:val="28"/>
          <w:szCs w:val="28"/>
        </w:rPr>
      </w:pPr>
      <w:r>
        <w:rPr>
          <w:rFonts w:hint="eastAsia" w:ascii="宋体" w:hAnsi="宋体"/>
          <w:sz w:val="28"/>
          <w:szCs w:val="28"/>
        </w:rPr>
        <w:t>数控技术应用 (660103)</w:t>
      </w:r>
    </w:p>
    <w:p>
      <w:pPr>
        <w:pStyle w:val="3"/>
        <w:spacing w:after="0" w:line="500" w:lineRule="exact"/>
        <w:ind w:firstLine="562" w:firstLineChars="200"/>
        <w:jc w:val="left"/>
        <w:rPr>
          <w:rFonts w:ascii="黑体" w:hAnsi="黑体" w:eastAsia="黑体"/>
          <w:b/>
          <w:bCs w:val="0"/>
          <w:sz w:val="28"/>
          <w:szCs w:val="28"/>
        </w:rPr>
      </w:pPr>
      <w:bookmarkStart w:id="1" w:name="_Toc18010"/>
      <w:r>
        <w:rPr>
          <w:rFonts w:hint="eastAsia" w:ascii="黑体" w:hAnsi="黑体" w:eastAsia="黑体"/>
          <w:b/>
          <w:bCs w:val="0"/>
          <w:sz w:val="28"/>
          <w:szCs w:val="28"/>
        </w:rPr>
        <w:t>二、入学要求</w:t>
      </w:r>
      <w:bookmarkEnd w:id="1"/>
    </w:p>
    <w:p>
      <w:pPr>
        <w:spacing w:line="500" w:lineRule="exact"/>
        <w:ind w:firstLine="560" w:firstLineChars="200"/>
        <w:jc w:val="left"/>
        <w:rPr>
          <w:rFonts w:ascii="宋体" w:hAnsi="宋体"/>
          <w:sz w:val="28"/>
          <w:szCs w:val="28"/>
        </w:rPr>
      </w:pPr>
      <w:r>
        <w:rPr>
          <w:rFonts w:hint="eastAsia" w:ascii="宋体" w:hAnsi="宋体"/>
          <w:sz w:val="28"/>
          <w:szCs w:val="28"/>
        </w:rPr>
        <w:t>初中毕业或具有同等学力者</w:t>
      </w:r>
    </w:p>
    <w:p>
      <w:pPr>
        <w:pStyle w:val="3"/>
        <w:spacing w:after="0" w:line="500" w:lineRule="exact"/>
        <w:ind w:firstLine="562" w:firstLineChars="200"/>
        <w:jc w:val="left"/>
        <w:rPr>
          <w:rFonts w:ascii="黑体" w:hAnsi="黑体" w:eastAsia="黑体"/>
          <w:b/>
          <w:bCs w:val="0"/>
          <w:sz w:val="28"/>
          <w:szCs w:val="28"/>
        </w:rPr>
      </w:pPr>
      <w:bookmarkStart w:id="2" w:name="_Toc23694"/>
      <w:bookmarkStart w:id="3" w:name="_Toc24111_WPSOffice_Level2"/>
      <w:bookmarkStart w:id="4" w:name="_Toc8119_WPSOffice_Level1"/>
      <w:bookmarkStart w:id="5" w:name="_Toc475975511"/>
      <w:bookmarkStart w:id="6" w:name="_Toc14076"/>
      <w:r>
        <w:rPr>
          <w:rFonts w:hint="eastAsia" w:ascii="黑体" w:hAnsi="黑体" w:eastAsia="黑体"/>
          <w:b/>
          <w:bCs w:val="0"/>
          <w:sz w:val="28"/>
          <w:szCs w:val="28"/>
        </w:rPr>
        <w:t>三、</w:t>
      </w:r>
      <w:bookmarkEnd w:id="2"/>
      <w:bookmarkEnd w:id="3"/>
      <w:bookmarkEnd w:id="4"/>
      <w:bookmarkEnd w:id="5"/>
      <w:r>
        <w:rPr>
          <w:rFonts w:hint="eastAsia" w:ascii="黑体" w:hAnsi="黑体" w:eastAsia="黑体"/>
          <w:b/>
          <w:bCs w:val="0"/>
          <w:sz w:val="28"/>
          <w:szCs w:val="28"/>
        </w:rPr>
        <w:t>修业年限</w:t>
      </w:r>
      <w:bookmarkEnd w:id="6"/>
    </w:p>
    <w:p>
      <w:pPr>
        <w:spacing w:line="500" w:lineRule="exact"/>
        <w:ind w:firstLine="560" w:firstLineChars="200"/>
        <w:jc w:val="left"/>
        <w:rPr>
          <w:rFonts w:ascii="宋体" w:hAnsi="宋体"/>
          <w:sz w:val="28"/>
          <w:szCs w:val="28"/>
        </w:rPr>
      </w:pPr>
      <w:r>
        <w:rPr>
          <w:rFonts w:hint="eastAsia" w:ascii="宋体" w:hAnsi="宋体"/>
          <w:sz w:val="28"/>
          <w:szCs w:val="28"/>
        </w:rPr>
        <w:t>3年</w:t>
      </w:r>
    </w:p>
    <w:p>
      <w:pPr>
        <w:pStyle w:val="3"/>
        <w:spacing w:after="0" w:line="500" w:lineRule="exact"/>
        <w:ind w:firstLine="562" w:firstLineChars="200"/>
        <w:jc w:val="left"/>
        <w:rPr>
          <w:rFonts w:ascii="黑体" w:hAnsi="黑体" w:eastAsia="黑体"/>
          <w:b/>
          <w:bCs w:val="0"/>
          <w:sz w:val="28"/>
          <w:szCs w:val="28"/>
        </w:rPr>
      </w:pPr>
      <w:bookmarkStart w:id="7" w:name="_Toc10976"/>
      <w:r>
        <w:rPr>
          <w:rFonts w:hint="eastAsia" w:ascii="黑体" w:hAnsi="黑体" w:eastAsia="黑体"/>
          <w:b/>
          <w:bCs w:val="0"/>
          <w:sz w:val="28"/>
          <w:szCs w:val="28"/>
        </w:rPr>
        <w:t>四、职业面向</w:t>
      </w:r>
      <w:bookmarkEnd w:id="7"/>
    </w:p>
    <w:p>
      <w:pPr>
        <w:rPr>
          <w:szCs w:val="21"/>
        </w:rPr>
      </w:pPr>
    </w:p>
    <w:tbl>
      <w:tblPr>
        <w:tblStyle w:val="9"/>
        <w:tblW w:w="86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4"/>
        <w:gridCol w:w="907"/>
        <w:gridCol w:w="2126"/>
        <w:gridCol w:w="1767"/>
        <w:gridCol w:w="1635"/>
        <w:gridCol w:w="15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561" w:type="dxa"/>
            <w:gridSpan w:val="2"/>
            <w:noWrap w:val="0"/>
            <w:vAlign w:val="center"/>
          </w:tcPr>
          <w:p>
            <w:pPr>
              <w:spacing w:line="240" w:lineRule="auto"/>
              <w:jc w:val="center"/>
              <w:rPr>
                <w:rFonts w:hint="eastAsia" w:ascii="宋体" w:hAnsi="宋体" w:eastAsia="宋体" w:cs="宋体"/>
                <w:b/>
                <w:szCs w:val="21"/>
              </w:rPr>
            </w:pPr>
            <w:r>
              <w:rPr>
                <w:rFonts w:hint="eastAsia" w:ascii="宋体" w:hAnsi="宋体" w:eastAsia="宋体" w:cs="宋体"/>
                <w:b/>
                <w:szCs w:val="21"/>
              </w:rPr>
              <w:t>所属大类</w:t>
            </w:r>
          </w:p>
        </w:tc>
        <w:tc>
          <w:tcPr>
            <w:tcW w:w="3893" w:type="dxa"/>
            <w:gridSpan w:val="2"/>
            <w:noWrap w:val="0"/>
            <w:vAlign w:val="center"/>
          </w:tcPr>
          <w:p>
            <w:pPr>
              <w:spacing w:line="240" w:lineRule="auto"/>
              <w:jc w:val="center"/>
              <w:rPr>
                <w:rFonts w:hint="eastAsia" w:ascii="宋体" w:hAnsi="宋体" w:eastAsia="宋体" w:cs="宋体"/>
                <w:b/>
                <w:szCs w:val="21"/>
              </w:rPr>
            </w:pPr>
            <w:r>
              <w:rPr>
                <w:rFonts w:hint="eastAsia" w:ascii="宋体" w:hAnsi="宋体" w:eastAsia="宋体" w:cs="宋体"/>
                <w:b/>
                <w:color w:val="000000"/>
                <w:kern w:val="0"/>
                <w:szCs w:val="21"/>
                <w:lang w:val="en-US" w:eastAsia="zh-CN" w:bidi="ar"/>
              </w:rPr>
              <w:t>装备制造大类（56）</w:t>
            </w:r>
          </w:p>
        </w:tc>
        <w:tc>
          <w:tcPr>
            <w:tcW w:w="1635" w:type="dxa"/>
            <w:noWrap w:val="0"/>
            <w:vAlign w:val="center"/>
          </w:tcPr>
          <w:p>
            <w:pPr>
              <w:spacing w:line="240" w:lineRule="auto"/>
              <w:jc w:val="center"/>
              <w:rPr>
                <w:rFonts w:hint="eastAsia" w:ascii="宋体" w:hAnsi="宋体" w:eastAsia="宋体" w:cs="宋体"/>
                <w:b/>
                <w:color w:val="FF0000"/>
                <w:szCs w:val="21"/>
              </w:rPr>
            </w:pPr>
            <w:r>
              <w:rPr>
                <w:rFonts w:hint="eastAsia" w:ascii="宋体" w:hAnsi="宋体" w:eastAsia="宋体" w:cs="宋体"/>
                <w:b/>
                <w:szCs w:val="21"/>
              </w:rPr>
              <w:t>专业代码</w:t>
            </w:r>
          </w:p>
        </w:tc>
        <w:tc>
          <w:tcPr>
            <w:tcW w:w="1530" w:type="dxa"/>
            <w:noWrap w:val="0"/>
            <w:vAlign w:val="center"/>
          </w:tcPr>
          <w:p>
            <w:pPr>
              <w:spacing w:line="240" w:lineRule="auto"/>
              <w:jc w:val="center"/>
              <w:rPr>
                <w:rFonts w:hint="eastAsia" w:ascii="宋体" w:hAnsi="宋体" w:eastAsia="宋体" w:cs="宋体"/>
                <w:b/>
                <w:color w:val="FF0000"/>
                <w:szCs w:val="21"/>
              </w:rPr>
            </w:pPr>
            <w:r>
              <w:rPr>
                <w:rFonts w:hint="eastAsia" w:ascii="宋体" w:hAnsi="宋体" w:eastAsia="宋体" w:cs="宋体"/>
                <w:b/>
                <w:szCs w:val="21"/>
              </w:rPr>
              <w:t>660103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654" w:type="dxa"/>
            <w:noWrap w:val="0"/>
            <w:vAlign w:val="center"/>
          </w:tcPr>
          <w:p>
            <w:pPr>
              <w:spacing w:line="240" w:lineRule="auto"/>
              <w:jc w:val="center"/>
              <w:rPr>
                <w:rFonts w:hint="eastAsia" w:ascii="宋体" w:hAnsi="宋体" w:eastAsia="宋体" w:cs="宋体"/>
                <w:b/>
                <w:szCs w:val="21"/>
              </w:rPr>
            </w:pPr>
            <w:r>
              <w:rPr>
                <w:rFonts w:hint="eastAsia" w:ascii="宋体" w:hAnsi="宋体" w:eastAsia="宋体" w:cs="宋体"/>
                <w:b/>
                <w:szCs w:val="21"/>
              </w:rPr>
              <w:t>序号</w:t>
            </w:r>
          </w:p>
        </w:tc>
        <w:tc>
          <w:tcPr>
            <w:tcW w:w="907" w:type="dxa"/>
            <w:noWrap w:val="0"/>
            <w:vAlign w:val="center"/>
          </w:tcPr>
          <w:p>
            <w:pPr>
              <w:spacing w:line="240" w:lineRule="auto"/>
              <w:jc w:val="center"/>
              <w:rPr>
                <w:rFonts w:hint="eastAsia" w:ascii="宋体" w:hAnsi="宋体" w:eastAsia="宋体" w:cs="宋体"/>
                <w:b/>
                <w:szCs w:val="21"/>
              </w:rPr>
            </w:pPr>
            <w:r>
              <w:rPr>
                <w:rFonts w:hint="eastAsia" w:ascii="宋体" w:hAnsi="宋体" w:eastAsia="宋体" w:cs="宋体"/>
                <w:b/>
                <w:szCs w:val="21"/>
              </w:rPr>
              <w:t>对应</w:t>
            </w:r>
          </w:p>
          <w:p>
            <w:pPr>
              <w:spacing w:line="240" w:lineRule="auto"/>
              <w:jc w:val="center"/>
              <w:rPr>
                <w:rFonts w:hint="eastAsia" w:ascii="宋体" w:hAnsi="宋体" w:eastAsia="宋体" w:cs="宋体"/>
                <w:b/>
                <w:szCs w:val="21"/>
              </w:rPr>
            </w:pPr>
            <w:r>
              <w:rPr>
                <w:rFonts w:hint="eastAsia" w:ascii="宋体" w:hAnsi="宋体" w:eastAsia="宋体" w:cs="宋体"/>
                <w:b/>
                <w:szCs w:val="21"/>
              </w:rPr>
              <w:t>行业</w:t>
            </w:r>
          </w:p>
        </w:tc>
        <w:tc>
          <w:tcPr>
            <w:tcW w:w="2126" w:type="dxa"/>
            <w:noWrap w:val="0"/>
            <w:vAlign w:val="center"/>
          </w:tcPr>
          <w:p>
            <w:pPr>
              <w:spacing w:line="240" w:lineRule="auto"/>
              <w:jc w:val="center"/>
              <w:rPr>
                <w:rFonts w:hint="eastAsia" w:ascii="宋体" w:hAnsi="宋体" w:eastAsia="宋体" w:cs="宋体"/>
                <w:b/>
                <w:szCs w:val="21"/>
              </w:rPr>
            </w:pPr>
            <w:r>
              <w:rPr>
                <w:rFonts w:hint="eastAsia" w:ascii="宋体" w:hAnsi="宋体" w:eastAsia="宋体" w:cs="宋体"/>
                <w:b/>
                <w:szCs w:val="21"/>
              </w:rPr>
              <w:t>职业类别</w:t>
            </w:r>
          </w:p>
        </w:tc>
        <w:tc>
          <w:tcPr>
            <w:tcW w:w="1767" w:type="dxa"/>
            <w:noWrap w:val="0"/>
            <w:vAlign w:val="center"/>
          </w:tcPr>
          <w:p>
            <w:pPr>
              <w:spacing w:line="240" w:lineRule="auto"/>
              <w:jc w:val="center"/>
              <w:rPr>
                <w:rFonts w:hint="eastAsia" w:ascii="宋体" w:hAnsi="宋体" w:eastAsia="宋体" w:cs="宋体"/>
                <w:b/>
                <w:szCs w:val="21"/>
              </w:rPr>
            </w:pPr>
            <w:r>
              <w:rPr>
                <w:rFonts w:hint="eastAsia" w:ascii="宋体" w:hAnsi="宋体" w:eastAsia="宋体" w:cs="宋体"/>
                <w:b/>
                <w:szCs w:val="21"/>
              </w:rPr>
              <w:t>工作岗位</w:t>
            </w:r>
          </w:p>
        </w:tc>
        <w:tc>
          <w:tcPr>
            <w:tcW w:w="1635" w:type="dxa"/>
            <w:noWrap w:val="0"/>
            <w:vAlign w:val="center"/>
          </w:tcPr>
          <w:p>
            <w:pPr>
              <w:spacing w:line="240" w:lineRule="auto"/>
              <w:jc w:val="center"/>
              <w:rPr>
                <w:rFonts w:hint="eastAsia" w:ascii="宋体" w:hAnsi="宋体" w:eastAsia="宋体" w:cs="宋体"/>
                <w:b/>
                <w:szCs w:val="21"/>
              </w:rPr>
            </w:pPr>
            <w:r>
              <w:rPr>
                <w:rFonts w:hint="eastAsia" w:ascii="宋体" w:hAnsi="宋体" w:eastAsia="宋体" w:cs="宋体"/>
                <w:b/>
                <w:szCs w:val="21"/>
              </w:rPr>
              <w:t>职业技能等级</w:t>
            </w:r>
          </w:p>
        </w:tc>
        <w:tc>
          <w:tcPr>
            <w:tcW w:w="1530" w:type="dxa"/>
            <w:noWrap w:val="0"/>
            <w:vAlign w:val="center"/>
          </w:tcPr>
          <w:p>
            <w:pPr>
              <w:spacing w:line="240" w:lineRule="auto"/>
              <w:jc w:val="center"/>
              <w:rPr>
                <w:rFonts w:hint="eastAsia" w:ascii="宋体" w:hAnsi="宋体" w:eastAsia="宋体" w:cs="宋体"/>
                <w:b/>
                <w:szCs w:val="21"/>
              </w:rPr>
            </w:pPr>
            <w:r>
              <w:rPr>
                <w:rFonts w:hint="eastAsia" w:ascii="宋体" w:hAnsi="宋体" w:eastAsia="宋体" w:cs="宋体"/>
                <w:b/>
                <w:szCs w:val="21"/>
              </w:rPr>
              <w:t>行业企业证书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54" w:type="dxa"/>
            <w:noWrap w:val="0"/>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1</w:t>
            </w:r>
          </w:p>
        </w:tc>
        <w:tc>
          <w:tcPr>
            <w:tcW w:w="907" w:type="dxa"/>
            <w:vMerge w:val="restart"/>
            <w:noWrap w:val="0"/>
            <w:vAlign w:val="center"/>
          </w:tcPr>
          <w:p>
            <w:pPr>
              <w:tabs>
                <w:tab w:val="left" w:pos="358"/>
              </w:tabs>
              <w:spacing w:line="240" w:lineRule="auto"/>
              <w:jc w:val="center"/>
              <w:rPr>
                <w:rFonts w:hint="eastAsia" w:ascii="宋体" w:hAnsi="宋体" w:eastAsia="宋体" w:cs="宋体"/>
                <w:szCs w:val="21"/>
              </w:rPr>
            </w:pPr>
            <w:r>
              <w:rPr>
                <w:rFonts w:hint="eastAsia" w:ascii="宋体" w:hAnsi="宋体" w:eastAsia="宋体" w:cs="宋体"/>
                <w:szCs w:val="21"/>
              </w:rPr>
              <w:t>机械</w:t>
            </w:r>
          </w:p>
        </w:tc>
        <w:tc>
          <w:tcPr>
            <w:tcW w:w="2126" w:type="dxa"/>
            <w:noWrap w:val="0"/>
            <w:vAlign w:val="center"/>
          </w:tcPr>
          <w:p>
            <w:pPr>
              <w:tabs>
                <w:tab w:val="left" w:pos="358"/>
              </w:tabs>
              <w:spacing w:line="240" w:lineRule="auto"/>
              <w:jc w:val="center"/>
              <w:rPr>
                <w:rFonts w:hint="eastAsia" w:ascii="宋体" w:hAnsi="宋体" w:eastAsia="宋体" w:cs="宋体"/>
                <w:szCs w:val="21"/>
              </w:rPr>
            </w:pPr>
            <w:r>
              <w:rPr>
                <w:rFonts w:hint="eastAsia" w:ascii="宋体" w:hAnsi="宋体" w:eastAsia="宋体" w:cs="宋体"/>
                <w:szCs w:val="21"/>
              </w:rPr>
              <w:t>数控车床操作与加工</w:t>
            </w:r>
          </w:p>
        </w:tc>
        <w:tc>
          <w:tcPr>
            <w:tcW w:w="1767" w:type="dxa"/>
            <w:noWrap w:val="0"/>
            <w:vAlign w:val="center"/>
          </w:tcPr>
          <w:p>
            <w:pPr>
              <w:tabs>
                <w:tab w:val="left" w:pos="358"/>
              </w:tabs>
              <w:spacing w:line="240" w:lineRule="auto"/>
              <w:jc w:val="center"/>
              <w:rPr>
                <w:rFonts w:hint="eastAsia" w:ascii="宋体" w:hAnsi="宋体" w:eastAsia="宋体" w:cs="宋体"/>
                <w:szCs w:val="21"/>
              </w:rPr>
            </w:pPr>
            <w:r>
              <w:rPr>
                <w:rFonts w:hint="eastAsia" w:ascii="宋体" w:hAnsi="宋体" w:eastAsia="宋体" w:cs="宋体"/>
                <w:szCs w:val="21"/>
              </w:rPr>
              <w:t>数控车工</w:t>
            </w:r>
          </w:p>
        </w:tc>
        <w:tc>
          <w:tcPr>
            <w:tcW w:w="1635" w:type="dxa"/>
            <w:noWrap w:val="0"/>
            <w:vAlign w:val="center"/>
          </w:tcPr>
          <w:p>
            <w:pPr>
              <w:tabs>
                <w:tab w:val="left" w:pos="358"/>
              </w:tabs>
              <w:spacing w:line="240" w:lineRule="auto"/>
              <w:jc w:val="center"/>
              <w:rPr>
                <w:rFonts w:hint="eastAsia" w:ascii="宋体" w:hAnsi="宋体" w:eastAsia="宋体" w:cs="宋体"/>
                <w:szCs w:val="21"/>
              </w:rPr>
            </w:pPr>
            <w:r>
              <w:rPr>
                <w:rFonts w:hint="eastAsia" w:ascii="宋体" w:hAnsi="宋体" w:eastAsia="宋体" w:cs="宋体"/>
                <w:szCs w:val="21"/>
              </w:rPr>
              <w:t>数控车工</w:t>
            </w:r>
          </w:p>
        </w:tc>
        <w:tc>
          <w:tcPr>
            <w:tcW w:w="1530" w:type="dxa"/>
            <w:vMerge w:val="restart"/>
            <w:noWrap w:val="0"/>
            <w:vAlign w:val="center"/>
          </w:tcPr>
          <w:p>
            <w:pPr>
              <w:spacing w:line="240" w:lineRule="auto"/>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654" w:type="dxa"/>
            <w:noWrap w:val="0"/>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2</w:t>
            </w:r>
          </w:p>
        </w:tc>
        <w:tc>
          <w:tcPr>
            <w:tcW w:w="907" w:type="dxa"/>
            <w:vMerge w:val="continue"/>
            <w:noWrap w:val="0"/>
            <w:vAlign w:val="center"/>
          </w:tcPr>
          <w:p>
            <w:pPr>
              <w:tabs>
                <w:tab w:val="left" w:pos="358"/>
              </w:tabs>
              <w:spacing w:line="240" w:lineRule="auto"/>
              <w:jc w:val="center"/>
              <w:rPr>
                <w:rFonts w:hint="eastAsia" w:ascii="宋体" w:hAnsi="宋体" w:eastAsia="宋体" w:cs="宋体"/>
                <w:szCs w:val="21"/>
              </w:rPr>
            </w:pPr>
          </w:p>
        </w:tc>
        <w:tc>
          <w:tcPr>
            <w:tcW w:w="2126" w:type="dxa"/>
            <w:noWrap w:val="0"/>
            <w:vAlign w:val="center"/>
          </w:tcPr>
          <w:p>
            <w:pPr>
              <w:tabs>
                <w:tab w:val="left" w:pos="358"/>
              </w:tabs>
              <w:spacing w:line="240" w:lineRule="auto"/>
              <w:jc w:val="center"/>
              <w:rPr>
                <w:rFonts w:hint="eastAsia" w:ascii="宋体" w:hAnsi="宋体" w:eastAsia="宋体" w:cs="宋体"/>
                <w:szCs w:val="21"/>
              </w:rPr>
            </w:pPr>
            <w:r>
              <w:rPr>
                <w:rFonts w:hint="eastAsia" w:ascii="宋体" w:hAnsi="宋体" w:eastAsia="宋体" w:cs="宋体"/>
                <w:szCs w:val="21"/>
              </w:rPr>
              <w:t>数控铣床/加工中心操作与加工</w:t>
            </w:r>
          </w:p>
        </w:tc>
        <w:tc>
          <w:tcPr>
            <w:tcW w:w="1767" w:type="dxa"/>
            <w:noWrap w:val="0"/>
            <w:vAlign w:val="center"/>
          </w:tcPr>
          <w:p>
            <w:pPr>
              <w:tabs>
                <w:tab w:val="left" w:pos="358"/>
              </w:tabs>
              <w:spacing w:line="240" w:lineRule="auto"/>
              <w:jc w:val="center"/>
              <w:rPr>
                <w:rFonts w:hint="eastAsia" w:ascii="宋体" w:hAnsi="宋体" w:eastAsia="宋体" w:cs="宋体"/>
                <w:szCs w:val="21"/>
              </w:rPr>
            </w:pPr>
            <w:r>
              <w:rPr>
                <w:rFonts w:hint="eastAsia" w:ascii="宋体" w:hAnsi="宋体" w:eastAsia="宋体" w:cs="宋体"/>
                <w:szCs w:val="21"/>
              </w:rPr>
              <w:t>数控铣工/加工中心操作工</w:t>
            </w:r>
          </w:p>
        </w:tc>
        <w:tc>
          <w:tcPr>
            <w:tcW w:w="1635" w:type="dxa"/>
            <w:noWrap w:val="0"/>
            <w:vAlign w:val="center"/>
          </w:tcPr>
          <w:p>
            <w:pPr>
              <w:tabs>
                <w:tab w:val="left" w:pos="358"/>
              </w:tabs>
              <w:spacing w:line="240" w:lineRule="auto"/>
              <w:jc w:val="center"/>
              <w:rPr>
                <w:rFonts w:hint="eastAsia" w:ascii="宋体" w:hAnsi="宋体" w:eastAsia="宋体" w:cs="宋体"/>
                <w:szCs w:val="21"/>
              </w:rPr>
            </w:pPr>
            <w:r>
              <w:rPr>
                <w:rFonts w:hint="eastAsia" w:ascii="宋体" w:hAnsi="宋体" w:eastAsia="宋体" w:cs="宋体"/>
                <w:szCs w:val="21"/>
              </w:rPr>
              <w:t>数控铣工/加工中心操作工</w:t>
            </w:r>
          </w:p>
        </w:tc>
        <w:tc>
          <w:tcPr>
            <w:tcW w:w="1530" w:type="dxa"/>
            <w:vMerge w:val="continue"/>
            <w:noWrap w:val="0"/>
            <w:vAlign w:val="center"/>
          </w:tcPr>
          <w:p>
            <w:pPr>
              <w:spacing w:line="240" w:lineRule="auto"/>
              <w:jc w:val="center"/>
              <w:rPr>
                <w:rFonts w:hint="eastAsia" w:ascii="宋体" w:hAnsi="宋体" w:eastAsia="宋体" w:cs="宋体"/>
                <w:color w:val="FF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654" w:type="dxa"/>
            <w:noWrap w:val="0"/>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3</w:t>
            </w:r>
          </w:p>
        </w:tc>
        <w:tc>
          <w:tcPr>
            <w:tcW w:w="907" w:type="dxa"/>
            <w:vMerge w:val="continue"/>
            <w:noWrap w:val="0"/>
            <w:vAlign w:val="center"/>
          </w:tcPr>
          <w:p>
            <w:pPr>
              <w:tabs>
                <w:tab w:val="left" w:pos="358"/>
              </w:tabs>
              <w:spacing w:line="240" w:lineRule="auto"/>
              <w:jc w:val="center"/>
              <w:rPr>
                <w:rFonts w:hint="eastAsia" w:ascii="宋体" w:hAnsi="宋体" w:eastAsia="宋体" w:cs="宋体"/>
                <w:szCs w:val="21"/>
              </w:rPr>
            </w:pPr>
          </w:p>
        </w:tc>
        <w:tc>
          <w:tcPr>
            <w:tcW w:w="2126" w:type="dxa"/>
            <w:noWrap w:val="0"/>
            <w:vAlign w:val="center"/>
          </w:tcPr>
          <w:p>
            <w:pPr>
              <w:tabs>
                <w:tab w:val="left" w:pos="358"/>
              </w:tabs>
              <w:spacing w:line="240" w:lineRule="auto"/>
              <w:jc w:val="center"/>
              <w:rPr>
                <w:rFonts w:hint="eastAsia" w:ascii="宋体" w:hAnsi="宋体" w:eastAsia="宋体" w:cs="宋体"/>
                <w:szCs w:val="21"/>
              </w:rPr>
            </w:pPr>
            <w:r>
              <w:rPr>
                <w:rFonts w:hint="eastAsia" w:ascii="宋体" w:hAnsi="宋体" w:eastAsia="宋体" w:cs="宋体"/>
                <w:szCs w:val="21"/>
              </w:rPr>
              <w:t>计算机辅助设计</w:t>
            </w:r>
          </w:p>
        </w:tc>
        <w:tc>
          <w:tcPr>
            <w:tcW w:w="1767" w:type="dxa"/>
            <w:noWrap w:val="0"/>
            <w:vAlign w:val="center"/>
          </w:tcPr>
          <w:p>
            <w:pPr>
              <w:tabs>
                <w:tab w:val="left" w:pos="358"/>
              </w:tabs>
              <w:spacing w:line="240" w:lineRule="auto"/>
              <w:jc w:val="center"/>
              <w:rPr>
                <w:rFonts w:hint="eastAsia" w:ascii="宋体" w:hAnsi="宋体" w:eastAsia="宋体" w:cs="宋体"/>
                <w:szCs w:val="21"/>
              </w:rPr>
            </w:pPr>
            <w:r>
              <w:rPr>
                <w:rFonts w:hint="eastAsia" w:ascii="宋体" w:hAnsi="宋体" w:eastAsia="宋体" w:cs="宋体"/>
                <w:szCs w:val="21"/>
                <w:lang w:val="en-US" w:eastAsia="zh-CN"/>
              </w:rPr>
              <w:t>绘</w:t>
            </w:r>
            <w:r>
              <w:rPr>
                <w:rFonts w:hint="eastAsia" w:ascii="宋体" w:hAnsi="宋体" w:eastAsia="宋体" w:cs="宋体"/>
                <w:szCs w:val="21"/>
              </w:rPr>
              <w:t>图员</w:t>
            </w:r>
          </w:p>
        </w:tc>
        <w:tc>
          <w:tcPr>
            <w:tcW w:w="1635" w:type="dxa"/>
            <w:noWrap w:val="0"/>
            <w:vAlign w:val="center"/>
          </w:tcPr>
          <w:p>
            <w:pPr>
              <w:tabs>
                <w:tab w:val="left" w:pos="358"/>
              </w:tabs>
              <w:spacing w:line="240" w:lineRule="auto"/>
              <w:jc w:val="center"/>
              <w:rPr>
                <w:rFonts w:hint="eastAsia" w:ascii="宋体" w:hAnsi="宋体" w:eastAsia="宋体" w:cs="宋体"/>
                <w:szCs w:val="21"/>
              </w:rPr>
            </w:pPr>
            <w:r>
              <w:rPr>
                <w:rFonts w:hint="eastAsia" w:ascii="宋体" w:hAnsi="宋体" w:eastAsia="宋体" w:cs="宋体"/>
                <w:szCs w:val="21"/>
                <w:lang w:val="en-US" w:eastAsia="zh-CN"/>
              </w:rPr>
              <w:t>CAD</w:t>
            </w:r>
            <w:r>
              <w:rPr>
                <w:rFonts w:hint="eastAsia" w:ascii="宋体" w:hAnsi="宋体" w:eastAsia="宋体" w:cs="宋体"/>
                <w:szCs w:val="21"/>
              </w:rPr>
              <w:t>计算机</w:t>
            </w:r>
          </w:p>
          <w:p>
            <w:pPr>
              <w:tabs>
                <w:tab w:val="left" w:pos="358"/>
              </w:tabs>
              <w:spacing w:line="240" w:lineRule="auto"/>
              <w:jc w:val="center"/>
              <w:rPr>
                <w:rFonts w:hint="eastAsia" w:ascii="宋体" w:hAnsi="宋体" w:eastAsia="宋体" w:cs="宋体"/>
                <w:szCs w:val="21"/>
              </w:rPr>
            </w:pPr>
            <w:r>
              <w:rPr>
                <w:rFonts w:hint="eastAsia" w:ascii="宋体" w:hAnsi="宋体" w:eastAsia="宋体" w:cs="宋体"/>
                <w:szCs w:val="21"/>
              </w:rPr>
              <w:t>辅助设计</w:t>
            </w:r>
          </w:p>
        </w:tc>
        <w:tc>
          <w:tcPr>
            <w:tcW w:w="1530" w:type="dxa"/>
            <w:vMerge w:val="continue"/>
            <w:noWrap w:val="0"/>
            <w:vAlign w:val="center"/>
          </w:tcPr>
          <w:p>
            <w:pPr>
              <w:spacing w:line="240" w:lineRule="auto"/>
              <w:jc w:val="center"/>
              <w:rPr>
                <w:rFonts w:hint="eastAsia" w:ascii="宋体" w:hAnsi="宋体" w:eastAsia="宋体" w:cs="宋体"/>
                <w:sz w:val="24"/>
                <w:szCs w:val="24"/>
              </w:rPr>
            </w:pPr>
          </w:p>
        </w:tc>
      </w:tr>
    </w:tbl>
    <w:p>
      <w:pPr>
        <w:pageBreakBefore w:val="0"/>
        <w:kinsoku/>
        <w:wordWrap/>
        <w:overflowPunct/>
        <w:topLinePunct w:val="0"/>
        <w:autoSpaceDE/>
        <w:autoSpaceDN/>
        <w:bidi w:val="0"/>
        <w:adjustRightInd/>
        <w:snapToGrid/>
        <w:spacing w:line="600" w:lineRule="exact"/>
        <w:ind w:firstLine="420" w:firstLineChars="200"/>
        <w:textAlignment w:val="auto"/>
        <w:rPr>
          <w:rFonts w:ascii="宋体" w:hAnsi="宋体" w:cs="宋体"/>
          <w:sz w:val="21"/>
          <w:szCs w:val="21"/>
        </w:rPr>
      </w:pPr>
      <w:r>
        <w:rPr>
          <w:rFonts w:hint="eastAsia" w:ascii="宋体" w:hAnsi="宋体" w:cs="宋体"/>
          <w:sz w:val="21"/>
          <w:szCs w:val="21"/>
        </w:rPr>
        <w:t>说明：可根据学校实际情况和专业（技能）方向取得1或2个证书。</w:t>
      </w:r>
    </w:p>
    <w:p>
      <w:pPr>
        <w:pStyle w:val="3"/>
        <w:pageBreakBefore w:val="0"/>
        <w:kinsoku/>
        <w:wordWrap/>
        <w:overflowPunct/>
        <w:topLinePunct w:val="0"/>
        <w:autoSpaceDE/>
        <w:autoSpaceDN/>
        <w:bidi w:val="0"/>
        <w:adjustRightInd/>
        <w:snapToGrid/>
        <w:spacing w:after="0" w:line="600" w:lineRule="exact"/>
        <w:ind w:firstLine="562" w:firstLineChars="200"/>
        <w:jc w:val="left"/>
        <w:textAlignment w:val="auto"/>
        <w:rPr>
          <w:rFonts w:ascii="黑体" w:hAnsi="黑体" w:eastAsia="黑体" w:cs="黑体"/>
          <w:b/>
          <w:bCs w:val="0"/>
          <w:sz w:val="28"/>
          <w:szCs w:val="28"/>
        </w:rPr>
      </w:pPr>
      <w:bookmarkStart w:id="8" w:name="_Toc27723"/>
      <w:r>
        <w:rPr>
          <w:rFonts w:hint="eastAsia" w:ascii="黑体" w:hAnsi="黑体" w:eastAsia="黑体" w:cs="黑体"/>
          <w:b/>
          <w:bCs w:val="0"/>
          <w:sz w:val="28"/>
          <w:szCs w:val="28"/>
        </w:rPr>
        <w:t>五、培养目标与培养规格</w:t>
      </w:r>
      <w:bookmarkEnd w:id="8"/>
    </w:p>
    <w:p>
      <w:pPr>
        <w:pageBreakBefore w:val="0"/>
        <w:kinsoku/>
        <w:wordWrap/>
        <w:overflowPunct/>
        <w:topLinePunct w:val="0"/>
        <w:autoSpaceDE/>
        <w:autoSpaceDN/>
        <w:bidi w:val="0"/>
        <w:adjustRightInd/>
        <w:snapToGrid/>
        <w:spacing w:line="600" w:lineRule="exact"/>
        <w:ind w:firstLine="562" w:firstLineChars="200"/>
        <w:textAlignment w:val="auto"/>
        <w:rPr>
          <w:rFonts w:ascii="宋体" w:hAnsi="宋体" w:cs="宋体"/>
          <w:b/>
          <w:bCs/>
          <w:kern w:val="44"/>
          <w:sz w:val="28"/>
          <w:szCs w:val="28"/>
        </w:rPr>
      </w:pPr>
      <w:r>
        <w:rPr>
          <w:rFonts w:hint="eastAsia" w:ascii="宋体" w:hAnsi="宋体" w:cs="宋体"/>
          <w:b/>
          <w:bCs/>
          <w:kern w:val="44"/>
          <w:sz w:val="28"/>
          <w:szCs w:val="28"/>
        </w:rPr>
        <w:t>（一）培养目标</w:t>
      </w:r>
    </w:p>
    <w:p>
      <w:pPr>
        <w:pStyle w:val="2"/>
        <w:spacing w:line="240" w:lineRule="auto"/>
        <w:ind w:left="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专业培养理想信念坚定，德智体美劳全面发展，具有一定科学文化水平，良好的人文素养、职业道德和创新意识，精益求精的工匠精神，较强的就业能力和可持续发展的能力，掌握数控机床操作、数控编程、数控加工工艺、</w:t>
      </w:r>
      <w:r>
        <w:rPr>
          <w:rFonts w:hint="eastAsia" w:ascii="宋体" w:hAnsi="宋体" w:eastAsia="宋体" w:cs="宋体"/>
          <w:sz w:val="28"/>
          <w:szCs w:val="28"/>
        </w:rPr>
        <w:t>CAD</w:t>
      </w:r>
      <w:r>
        <w:rPr>
          <w:rFonts w:hint="eastAsia" w:ascii="宋体" w:hAnsi="宋体" w:eastAsia="宋体" w:cs="宋体"/>
          <w:sz w:val="28"/>
          <w:szCs w:val="28"/>
          <w:lang w:val="en-US" w:eastAsia="zh-CN"/>
        </w:rPr>
        <w:t>二维</w:t>
      </w:r>
      <w:r>
        <w:rPr>
          <w:rFonts w:hint="eastAsia" w:ascii="宋体" w:hAnsi="宋体" w:eastAsia="宋体" w:cs="宋体"/>
          <w:sz w:val="28"/>
          <w:szCs w:val="28"/>
        </w:rPr>
        <w:t>软件</w:t>
      </w:r>
      <w:r>
        <w:rPr>
          <w:rFonts w:hint="eastAsia" w:ascii="宋体" w:hAnsi="宋体" w:cs="宋体"/>
          <w:sz w:val="28"/>
          <w:szCs w:val="28"/>
          <w:lang w:eastAsia="zh-CN"/>
        </w:rPr>
        <w:t>、</w:t>
      </w:r>
      <w:r>
        <w:rPr>
          <w:rFonts w:hint="eastAsia" w:ascii="宋体" w:hAnsi="宋体" w:eastAsia="宋体" w:cs="宋体"/>
          <w:sz w:val="28"/>
          <w:szCs w:val="28"/>
          <w:lang w:val="en-US" w:eastAsia="zh-CN"/>
        </w:rPr>
        <w:t>三维建模软件</w:t>
      </w:r>
      <w:r>
        <w:rPr>
          <w:rFonts w:hint="eastAsia" w:ascii="宋体" w:hAnsi="宋体" w:eastAsia="宋体" w:cs="宋体"/>
          <w:kern w:val="2"/>
          <w:sz w:val="28"/>
          <w:szCs w:val="28"/>
          <w:lang w:val="en-US" w:eastAsia="zh-CN" w:bidi="ar-SA"/>
        </w:rPr>
        <w:t>等方面的知识和技术技能，面向机械制造业企业，能够从事数控机床操作、数控编程、数控加工工艺编制、机械工程图绘制等工作的高素质技术技能型人才。</w:t>
      </w:r>
    </w:p>
    <w:p>
      <w:pPr>
        <w:pageBreakBefore w:val="0"/>
        <w:kinsoku/>
        <w:wordWrap/>
        <w:overflowPunct/>
        <w:topLinePunct w:val="0"/>
        <w:autoSpaceDE/>
        <w:autoSpaceDN/>
        <w:bidi w:val="0"/>
        <w:adjustRightInd/>
        <w:snapToGrid/>
        <w:spacing w:line="600" w:lineRule="exact"/>
        <w:ind w:firstLine="562" w:firstLineChars="200"/>
        <w:textAlignment w:val="auto"/>
        <w:rPr>
          <w:rFonts w:ascii="宋体" w:hAnsi="宋体" w:cs="宋体"/>
          <w:b/>
          <w:bCs/>
          <w:kern w:val="44"/>
          <w:sz w:val="28"/>
          <w:szCs w:val="28"/>
        </w:rPr>
      </w:pPr>
      <w:r>
        <w:rPr>
          <w:rFonts w:hint="eastAsia" w:ascii="宋体" w:hAnsi="宋体" w:cs="宋体"/>
          <w:b/>
          <w:bCs/>
          <w:kern w:val="44"/>
          <w:sz w:val="28"/>
          <w:szCs w:val="28"/>
        </w:rPr>
        <w:t>（二）培养规格</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宋体" w:hAnsi="宋体" w:cs="宋体"/>
          <w:color w:val="171717"/>
          <w:kern w:val="0"/>
          <w:sz w:val="28"/>
          <w:szCs w:val="28"/>
        </w:rPr>
      </w:pPr>
      <w:r>
        <w:rPr>
          <w:rFonts w:hint="eastAsia" w:ascii="宋体" w:hAnsi="宋体" w:cs="宋体"/>
          <w:color w:val="171717"/>
          <w:kern w:val="0"/>
          <w:sz w:val="28"/>
          <w:szCs w:val="28"/>
        </w:rPr>
        <w:t>本专业毕业生应具有以下职业素质、专业知识和专业技能能力：</w:t>
      </w:r>
    </w:p>
    <w:p>
      <w:pPr>
        <w:pStyle w:val="4"/>
        <w:pageBreakBefore w:val="0"/>
        <w:kinsoku/>
        <w:wordWrap/>
        <w:overflowPunct/>
        <w:topLinePunct w:val="0"/>
        <w:autoSpaceDE/>
        <w:autoSpaceDN/>
        <w:bidi w:val="0"/>
        <w:adjustRightInd/>
        <w:snapToGrid/>
        <w:spacing w:line="600" w:lineRule="exact"/>
        <w:ind w:firstLine="562" w:firstLineChars="200"/>
        <w:textAlignment w:val="auto"/>
      </w:pPr>
      <w:r>
        <w:rPr>
          <w:rFonts w:hint="eastAsia"/>
        </w:rPr>
        <w:t>1.素质</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（1）思想政治素质</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具有科学的世界观、人生观和价值观；具有爱国具有责任心和社会责任感；具有法律意识。</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（2）文化科技素质</w:t>
      </w:r>
    </w:p>
    <w:p>
      <w:pPr>
        <w:pageBreakBefore w:val="0"/>
        <w:widowControl/>
        <w:tabs>
          <w:tab w:val="left" w:pos="0"/>
        </w:tabs>
        <w:kinsoku/>
        <w:wordWrap/>
        <w:overflowPunct/>
        <w:topLinePunct w:val="0"/>
        <w:autoSpaceDE/>
        <w:autoSpaceDN/>
        <w:bidi w:val="0"/>
        <w:adjustRightInd/>
        <w:snapToGrid/>
        <w:spacing w:line="600" w:lineRule="exact"/>
        <w:ind w:left="0" w:leftChars="0" w:firstLine="560" w:firstLineChars="200"/>
        <w:jc w:val="left"/>
        <w:textAlignment w:val="auto"/>
        <w:rPr>
          <w:rFonts w:ascii="宋体" w:hAnsi="宋体" w:cs="宋体"/>
          <w:sz w:val="28"/>
          <w:szCs w:val="28"/>
        </w:rPr>
      </w:pPr>
      <w:r>
        <w:rPr>
          <w:rFonts w:hint="eastAsia" w:ascii="宋体" w:hAnsi="宋体" w:cs="宋体"/>
          <w:sz w:val="28"/>
          <w:szCs w:val="28"/>
        </w:rPr>
        <w:t>具有合理的知识结构和一定的知识储备；具有运用计算机进行技术交流和信息处理的能力，和通过不同途径获取信息、学习新知识的能力；具有持续学习和终身学习的能力的人文和艺术修养。</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（3）专业素质</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具有机械加工基本常识，解决普通车削加工及数控加工一般技术问题的能力；具有操作数控车床、数控铣床加工零件并进行质量检测评估能力；具有掌握数控加工技术，能合理选取数控加工的相关要素，具有较高的质量和成本意识；具有识读与绘制机械零件图、使用CAD软件能力；了解数控技术的发展方向，具有创新精神和自主学习的能力，具有适应职业变换的能力；具有良好的人际交流能力、团队合作精神和客户服务意识。</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（4）职业素质</w:t>
      </w:r>
    </w:p>
    <w:p>
      <w:pPr>
        <w:pageBreakBefore w:val="0"/>
        <w:widowControl/>
        <w:kinsoku/>
        <w:wordWrap/>
        <w:overflowPunct/>
        <w:topLinePunct w:val="0"/>
        <w:autoSpaceDE/>
        <w:autoSpaceDN/>
        <w:bidi w:val="0"/>
        <w:adjustRightInd/>
        <w:snapToGrid/>
        <w:spacing w:line="600" w:lineRule="exact"/>
        <w:ind w:left="0" w:leftChars="0" w:firstLine="560" w:firstLineChars="200"/>
        <w:jc w:val="left"/>
        <w:textAlignment w:val="auto"/>
        <w:rPr>
          <w:rFonts w:ascii="宋体" w:hAnsi="宋体" w:cs="宋体"/>
          <w:sz w:val="28"/>
          <w:szCs w:val="28"/>
        </w:rPr>
      </w:pPr>
      <w:r>
        <w:rPr>
          <w:rFonts w:hint="eastAsia" w:ascii="宋体" w:hAnsi="宋体" w:cs="宋体"/>
          <w:sz w:val="28"/>
          <w:szCs w:val="28"/>
        </w:rPr>
        <w:t>具有良好的职业道德与职业操守:具备较强的组织观体竟识:有较强的执行能力及权高的工作效率及安全意识；具有安全文明生产、环境保护、质量控制等方面的相关知识和技能。</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（5）身心素质</w:t>
      </w:r>
    </w:p>
    <w:p>
      <w:pPr>
        <w:pageBreakBefore w:val="0"/>
        <w:widowControl/>
        <w:kinsoku/>
        <w:wordWrap/>
        <w:overflowPunct/>
        <w:topLinePunct w:val="0"/>
        <w:autoSpaceDE/>
        <w:autoSpaceDN/>
        <w:bidi w:val="0"/>
        <w:adjustRightInd/>
        <w:snapToGrid/>
        <w:spacing w:line="600" w:lineRule="exact"/>
        <w:ind w:left="0" w:leftChars="0" w:firstLine="560" w:firstLineChars="200"/>
        <w:jc w:val="left"/>
        <w:textAlignment w:val="auto"/>
        <w:rPr>
          <w:rFonts w:ascii="宋体" w:hAnsi="宋体" w:cs="宋体"/>
          <w:sz w:val="28"/>
          <w:szCs w:val="28"/>
        </w:rPr>
      </w:pPr>
      <w:r>
        <w:rPr>
          <w:rFonts w:hint="eastAsia" w:ascii="宋体" w:hAnsi="宋体" w:cs="宋体"/>
          <w:sz w:val="28"/>
          <w:szCs w:val="28"/>
        </w:rPr>
        <w:t>具有健康的体和民好的身体素质;拥有积极的人生良好的心理调试能力。</w:t>
      </w:r>
    </w:p>
    <w:p>
      <w:pPr>
        <w:pStyle w:val="4"/>
        <w:pageBreakBefore w:val="0"/>
        <w:kinsoku/>
        <w:wordWrap/>
        <w:overflowPunct/>
        <w:topLinePunct w:val="0"/>
        <w:autoSpaceDE/>
        <w:autoSpaceDN/>
        <w:bidi w:val="0"/>
        <w:adjustRightInd/>
        <w:snapToGrid/>
        <w:spacing w:line="600" w:lineRule="exact"/>
        <w:ind w:firstLine="562" w:firstLineChars="200"/>
        <w:textAlignment w:val="auto"/>
      </w:pPr>
      <w:r>
        <w:rPr>
          <w:rFonts w:hint="eastAsia"/>
        </w:rPr>
        <w:t>2.知识</w:t>
      </w:r>
    </w:p>
    <w:p>
      <w:pPr>
        <w:pageBreakBefore w:val="0"/>
        <w:widowControl/>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cs="宋体"/>
          <w:sz w:val="28"/>
          <w:szCs w:val="28"/>
        </w:rPr>
        <w:t>公共基础知识</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掌握职业生涯规划、职业道德与法律、经济政治与社学与人生、语文、数学、英语、计算机应用基础、体验与健康、历史等相关公共基础知识。</w:t>
      </w:r>
    </w:p>
    <w:p>
      <w:pPr>
        <w:pageBreakBefore w:val="0"/>
        <w:widowControl/>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color w:val="171717"/>
          <w:kern w:val="0"/>
          <w:sz w:val="28"/>
          <w:szCs w:val="28"/>
          <w:lang w:eastAsia="zh-CN"/>
        </w:rPr>
        <w:t>（</w:t>
      </w:r>
      <w:r>
        <w:rPr>
          <w:rFonts w:hint="eastAsia" w:ascii="宋体" w:hAnsi="宋体" w:cs="宋体"/>
          <w:color w:val="171717"/>
          <w:kern w:val="0"/>
          <w:sz w:val="28"/>
          <w:szCs w:val="28"/>
          <w:lang w:val="en-US" w:eastAsia="zh-CN"/>
        </w:rPr>
        <w:t>2</w:t>
      </w:r>
      <w:r>
        <w:rPr>
          <w:rFonts w:hint="eastAsia" w:ascii="宋体" w:hAnsi="宋体" w:cs="宋体"/>
          <w:color w:val="171717"/>
          <w:kern w:val="0"/>
          <w:sz w:val="28"/>
          <w:szCs w:val="28"/>
          <w:lang w:eastAsia="zh-CN"/>
        </w:rPr>
        <w:t>）</w:t>
      </w:r>
      <w:r>
        <w:rPr>
          <w:rFonts w:hint="eastAsia" w:ascii="宋体" w:hAnsi="宋体" w:cs="宋体"/>
          <w:color w:val="171717"/>
          <w:kern w:val="0"/>
          <w:sz w:val="28"/>
          <w:szCs w:val="28"/>
        </w:rPr>
        <w:t>专业知识</w:t>
      </w:r>
    </w:p>
    <w:p>
      <w:pPr>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 xml:space="preserve">掌握机械制造的基础知识，具备机械制造的基本技能；具有一定的识图、手工绘图和CAD软件绘图能力，能熟练使用二维绘图软件进行图纸的绘制和三维建模设计；了解数控加工设备的工作原理、熟悉数控机床的基本结构，具有数控加工的基本知识，掌握数控机床的操作与日常维护保养。  </w:t>
      </w:r>
    </w:p>
    <w:p>
      <w:pPr>
        <w:pStyle w:val="4"/>
        <w:pageBreakBefore w:val="0"/>
        <w:kinsoku/>
        <w:wordWrap/>
        <w:overflowPunct/>
        <w:topLinePunct w:val="0"/>
        <w:autoSpaceDE/>
        <w:autoSpaceDN/>
        <w:bidi w:val="0"/>
        <w:adjustRightInd/>
        <w:snapToGrid/>
        <w:spacing w:line="600" w:lineRule="exact"/>
        <w:ind w:firstLine="562" w:firstLineChars="200"/>
        <w:textAlignment w:val="auto"/>
      </w:pPr>
      <w:r>
        <w:rPr>
          <w:rFonts w:hint="eastAsia"/>
        </w:rPr>
        <w:t>3.能力</w:t>
      </w:r>
    </w:p>
    <w:p>
      <w:pPr>
        <w:pageBreakBefore w:val="0"/>
        <w:widowControl/>
        <w:numPr>
          <w:ilvl w:val="0"/>
          <w:numId w:val="1"/>
        </w:numPr>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掌握使用 Microsoft Office 办公软件的能力</w:t>
      </w:r>
    </w:p>
    <w:p>
      <w:pPr>
        <w:pageBreakBefore w:val="0"/>
        <w:widowControl/>
        <w:numPr>
          <w:ilvl w:val="0"/>
          <w:numId w:val="1"/>
        </w:numPr>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掌握机械制图、手工绘图的能力</w:t>
      </w:r>
    </w:p>
    <w:p>
      <w:pPr>
        <w:pageBreakBefore w:val="0"/>
        <w:widowControl/>
        <w:numPr>
          <w:ilvl w:val="0"/>
          <w:numId w:val="1"/>
        </w:numPr>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 xml:space="preserve">熟练掌握 </w:t>
      </w:r>
      <w:r>
        <w:rPr>
          <w:rFonts w:hint="eastAsia" w:ascii="宋体" w:hAnsi="宋体" w:cs="宋体"/>
          <w:sz w:val="28"/>
          <w:szCs w:val="28"/>
          <w:lang w:eastAsia="zh-CN"/>
        </w:rPr>
        <w:t>CAD</w:t>
      </w:r>
      <w:r>
        <w:rPr>
          <w:rFonts w:hint="eastAsia" w:ascii="宋体" w:hAnsi="宋体" w:cs="宋体"/>
          <w:sz w:val="28"/>
          <w:szCs w:val="28"/>
        </w:rPr>
        <w:t>进行二维图纸绘制的能力</w:t>
      </w:r>
    </w:p>
    <w:p>
      <w:pPr>
        <w:pageBreakBefore w:val="0"/>
        <w:widowControl/>
        <w:numPr>
          <w:ilvl w:val="0"/>
          <w:numId w:val="1"/>
        </w:numPr>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能熟练使三维软件进行三维建模设计</w:t>
      </w:r>
    </w:p>
    <w:p>
      <w:pPr>
        <w:pageBreakBefore w:val="0"/>
        <w:widowControl/>
        <w:numPr>
          <w:ilvl w:val="0"/>
          <w:numId w:val="1"/>
        </w:numPr>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熟练掌握数控车床、铣床（加工中心）的加工与编程技术；</w:t>
      </w:r>
    </w:p>
    <w:p>
      <w:pPr>
        <w:pageBreakBefore w:val="0"/>
        <w:widowControl/>
        <w:numPr>
          <w:ilvl w:val="0"/>
          <w:numId w:val="1"/>
        </w:numPr>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熟悉零件数控加工工艺，能分析、解决数控加工中的常见技术问题；</w:t>
      </w:r>
    </w:p>
    <w:p>
      <w:pPr>
        <w:pageBreakBefore w:val="0"/>
        <w:widowControl/>
        <w:numPr>
          <w:ilvl w:val="0"/>
          <w:numId w:val="1"/>
        </w:numPr>
        <w:kinsoku/>
        <w:wordWrap/>
        <w:overflowPunct/>
        <w:topLinePunct w:val="0"/>
        <w:autoSpaceDE/>
        <w:autoSpaceDN/>
        <w:bidi w:val="0"/>
        <w:adjustRightInd/>
        <w:snapToGrid/>
        <w:spacing w:line="600" w:lineRule="exact"/>
        <w:ind w:firstLine="560" w:firstLineChars="200"/>
        <w:jc w:val="left"/>
        <w:textAlignment w:val="auto"/>
        <w:rPr>
          <w:rFonts w:ascii="宋体" w:hAnsi="宋体" w:cs="宋体"/>
          <w:sz w:val="28"/>
          <w:szCs w:val="28"/>
        </w:rPr>
      </w:pPr>
      <w:r>
        <w:rPr>
          <w:rFonts w:hint="eastAsia" w:ascii="宋体" w:hAnsi="宋体" w:cs="宋体"/>
          <w:sz w:val="28"/>
          <w:szCs w:val="28"/>
        </w:rPr>
        <w:t>了解企业数控加工的生产和质量管理过程，具有加工工艺实施、数控设备日常管理和加工质量检测的基本能力。</w:t>
      </w:r>
    </w:p>
    <w:p>
      <w:pPr>
        <w:pStyle w:val="3"/>
        <w:keepNext/>
        <w:keepLines/>
        <w:pageBreakBefore w:val="0"/>
        <w:widowControl w:val="0"/>
        <w:numPr>
          <w:ilvl w:val="0"/>
          <w:numId w:val="2"/>
        </w:numPr>
        <w:kinsoku/>
        <w:wordWrap/>
        <w:overflowPunct/>
        <w:topLinePunct w:val="0"/>
        <w:autoSpaceDE/>
        <w:autoSpaceDN/>
        <w:bidi w:val="0"/>
        <w:adjustRightInd/>
        <w:snapToGrid/>
        <w:spacing w:after="0" w:line="240" w:lineRule="auto"/>
        <w:ind w:firstLine="562" w:firstLineChars="200"/>
        <w:jc w:val="left"/>
        <w:textAlignment w:val="auto"/>
        <w:rPr>
          <w:rFonts w:hint="eastAsia" w:ascii="黑体" w:hAnsi="黑体" w:eastAsia="黑体" w:cs="黑体"/>
          <w:b/>
          <w:bCs w:val="0"/>
          <w:color w:val="auto"/>
          <w:sz w:val="28"/>
          <w:szCs w:val="28"/>
        </w:rPr>
      </w:pPr>
      <w:bookmarkStart w:id="9" w:name="_Toc17786"/>
      <w:r>
        <w:rPr>
          <w:rFonts w:hint="eastAsia" w:ascii="黑体" w:hAnsi="黑体" w:eastAsia="黑体" w:cs="黑体"/>
          <w:b/>
          <w:bCs w:val="0"/>
          <w:color w:val="auto"/>
          <w:sz w:val="28"/>
          <w:szCs w:val="28"/>
        </w:rPr>
        <w:t>课程设置及要求</w:t>
      </w:r>
      <w:bookmarkEnd w:id="9"/>
    </w:p>
    <w:p>
      <w:pPr>
        <w:spacing w:line="240" w:lineRule="auto"/>
        <w:ind w:firstLine="420" w:firstLineChars="200"/>
        <w:rPr>
          <w:rFonts w:hint="eastAsia" w:ascii="宋体" w:hAnsi="宋体" w:eastAsia="宋体" w:cs="宋体"/>
          <w:kern w:val="2"/>
          <w:sz w:val="28"/>
          <w:szCs w:val="28"/>
          <w:lang w:val="en-US" w:eastAsia="zh-CN" w:bidi="ar-SA"/>
        </w:rPr>
      </w:pPr>
      <w:r>
        <w:drawing>
          <wp:inline distT="0" distB="0" distL="114300" distR="114300">
            <wp:extent cx="4700270" cy="8307070"/>
            <wp:effectExtent l="0" t="0" r="5080" b="17780"/>
            <wp:docPr id="12" name="图片 12" descr="1653096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53096369(1)"/>
                    <pic:cNvPicPr>
                      <a:picLocks noChangeAspect="1"/>
                    </pic:cNvPicPr>
                  </pic:nvPicPr>
                  <pic:blipFill>
                    <a:blip r:embed="rId12"/>
                    <a:stretch>
                      <a:fillRect/>
                    </a:stretch>
                  </pic:blipFill>
                  <pic:spPr>
                    <a:xfrm>
                      <a:off x="0" y="0"/>
                      <a:ext cx="4700270" cy="8307070"/>
                    </a:xfrm>
                    <a:prstGeom prst="rect">
                      <a:avLst/>
                    </a:prstGeom>
                  </pic:spPr>
                </pic:pic>
              </a:graphicData>
            </a:graphic>
          </wp:inline>
        </w:drawing>
      </w:r>
      <w:r>
        <w:br w:type="page"/>
      </w:r>
      <w:r>
        <w:rPr>
          <w:rFonts w:hint="eastAsia" w:ascii="宋体" w:hAnsi="宋体" w:eastAsia="宋体" w:cs="Times New Roman"/>
          <w:kern w:val="2"/>
          <w:sz w:val="28"/>
          <w:szCs w:val="28"/>
          <w:lang w:val="en-US" w:eastAsia="zh-CN" w:bidi="ar-SA"/>
        </w:rPr>
        <w:t xml:space="preserve">  </w:t>
      </w:r>
      <w:r>
        <w:rPr>
          <w:rFonts w:hint="eastAsia" w:ascii="宋体" w:hAnsi="宋体" w:eastAsia="宋体" w:cs="宋体"/>
          <w:kern w:val="2"/>
          <w:sz w:val="28"/>
          <w:szCs w:val="28"/>
          <w:lang w:val="en-US" w:eastAsia="zh-CN" w:bidi="ar-SA"/>
        </w:rPr>
        <w:t>通过职业岗位能力分析，最终对接运用于专业课程的设置为：公共基础课、专业技能课，各课程设置及学分情况如上表。</w:t>
      </w:r>
    </w:p>
    <w:p>
      <w:pPr>
        <w:pStyle w:val="2"/>
        <w:spacing w:line="240" w:lineRule="auto"/>
        <w:ind w:left="0" w:leftChars="0" w:firstLine="560" w:firstLineChars="200"/>
        <w:rPr>
          <w:rFonts w:hint="eastAsia" w:ascii="宋体" w:hAnsi="宋体" w:eastAsia="宋体" w:cs="Times New Roman"/>
          <w:kern w:val="2"/>
          <w:sz w:val="28"/>
          <w:szCs w:val="28"/>
          <w:lang w:val="en-US" w:eastAsia="zh-CN" w:bidi="ar-SA"/>
        </w:rPr>
      </w:pPr>
      <w:r>
        <w:rPr>
          <w:rFonts w:hint="eastAsia" w:ascii="宋体" w:hAnsi="宋体" w:eastAsia="宋体" w:cs="宋体"/>
          <w:kern w:val="2"/>
          <w:sz w:val="28"/>
          <w:szCs w:val="28"/>
          <w:lang w:val="en-US" w:eastAsia="zh-CN" w:bidi="ar-SA"/>
        </w:rPr>
        <w:t>上表中三年总学时数为3564，公共基础课1350学时，占总学时37.88%；专业技能课2214学时，占总学时62.12%；实践课2178学时，占总学时61.1%，选修课576学时，占总学时16.2%。</w:t>
      </w:r>
    </w:p>
    <w:p>
      <w:pPr>
        <w:numPr>
          <w:ilvl w:val="0"/>
          <w:numId w:val="3"/>
        </w:numPr>
        <w:spacing w:line="500" w:lineRule="exact"/>
        <w:ind w:firstLine="562" w:firstLineChars="200"/>
        <w:rPr>
          <w:rFonts w:ascii="宋体" w:hAnsi="宋体" w:cs="宋体"/>
          <w:b/>
          <w:bCs/>
          <w:sz w:val="28"/>
          <w:szCs w:val="28"/>
        </w:rPr>
      </w:pPr>
      <w:r>
        <w:rPr>
          <w:rFonts w:hint="eastAsia" w:ascii="宋体" w:hAnsi="宋体" w:cs="宋体"/>
          <w:b/>
          <w:bCs/>
          <w:sz w:val="28"/>
          <w:szCs w:val="28"/>
        </w:rPr>
        <w:t>公共基础课</w:t>
      </w:r>
    </w:p>
    <w:tbl>
      <w:tblPr>
        <w:tblStyle w:val="9"/>
        <w:tblW w:w="8963" w:type="dxa"/>
        <w:tblInd w:w="0" w:type="dxa"/>
        <w:shd w:val="clear" w:color="auto" w:fill="auto"/>
        <w:tblLayout w:type="autofit"/>
        <w:tblCellMar>
          <w:top w:w="0" w:type="dxa"/>
          <w:left w:w="0" w:type="dxa"/>
          <w:bottom w:w="0" w:type="dxa"/>
          <w:right w:w="0" w:type="dxa"/>
        </w:tblCellMar>
      </w:tblPr>
      <w:tblGrid>
        <w:gridCol w:w="685"/>
        <w:gridCol w:w="2537"/>
        <w:gridCol w:w="5741"/>
      </w:tblGrid>
      <w:tr>
        <w:tblPrEx>
          <w:shd w:val="clear" w:color="auto" w:fill="auto"/>
          <w:tblCellMar>
            <w:top w:w="0" w:type="dxa"/>
            <w:left w:w="0" w:type="dxa"/>
            <w:bottom w:w="0" w:type="dxa"/>
            <w:right w:w="0" w:type="dxa"/>
          </w:tblCellMar>
        </w:tblPrEx>
        <w:trPr>
          <w:trHeight w:val="5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课程名称</w:t>
            </w:r>
          </w:p>
        </w:tc>
        <w:tc>
          <w:tcPr>
            <w:tcW w:w="2537"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课程目标</w:t>
            </w:r>
          </w:p>
        </w:tc>
        <w:tc>
          <w:tcPr>
            <w:tcW w:w="5741" w:type="dxa"/>
            <w:tcBorders>
              <w:top w:val="single" w:color="000000" w:sz="4" w:space="0"/>
              <w:left w:val="single" w:color="000000" w:sz="4" w:space="0"/>
              <w:bottom w:val="single" w:color="000000" w:sz="4" w:space="0"/>
              <w:right w:val="single" w:color="000000" w:sz="4" w:space="0"/>
            </w:tcBorders>
            <w:shd w:val="clear" w:color="auto" w:fill="DEEBF6" w:themeFill="accent1" w:themeFillTint="32"/>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课程内容和要求</w:t>
            </w:r>
          </w:p>
        </w:tc>
      </w:tr>
      <w:tr>
        <w:tblPrEx>
          <w:shd w:val="clear" w:color="auto" w:fill="auto"/>
          <w:tblCellMar>
            <w:top w:w="0" w:type="dxa"/>
            <w:left w:w="0" w:type="dxa"/>
            <w:bottom w:w="0" w:type="dxa"/>
            <w:right w:w="0" w:type="dxa"/>
          </w:tblCellMar>
        </w:tblPrEx>
        <w:trPr>
          <w:trHeight w:val="1979"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思想政治</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培养学生思想政治学科的核心素养，包括政治认同、法治意识、公共参与、职业精神、健全人格等。</w:t>
            </w:r>
          </w:p>
        </w:tc>
        <w:tc>
          <w:tcPr>
            <w:tcW w:w="5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德育课程课程类别分为必修课程和任意选修课程。</w:t>
            </w:r>
          </w:p>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必修内容包括“中国特色社会主义”、“心理健康与职业生涯”、“哲学与人生”、“职业道德与法治”四部分。</w:t>
            </w:r>
          </w:p>
          <w:p>
            <w:pPr>
              <w:keepNext w:val="0"/>
              <w:keepLines w:val="0"/>
              <w:widowControl/>
              <w:suppressLineNumbers w:val="0"/>
              <w:spacing w:line="240" w:lineRule="auto"/>
              <w:ind w:firstLine="440"/>
              <w:jc w:val="left"/>
              <w:textAlignment w:val="center"/>
              <w:rPr>
                <w:rFonts w:hint="eastAsia"/>
                <w:lang w:val="en-US" w:eastAsia="zh-CN"/>
              </w:rPr>
            </w:pPr>
            <w:r>
              <w:rPr>
                <w:rFonts w:hint="eastAsia" w:ascii="宋体" w:hAnsi="宋体" w:eastAsia="宋体" w:cs="宋体"/>
                <w:i w:val="0"/>
                <w:color w:val="000000"/>
                <w:kern w:val="0"/>
                <w:sz w:val="22"/>
                <w:szCs w:val="22"/>
                <w:u w:val="none"/>
                <w:lang w:val="en-US" w:eastAsia="zh-CN" w:bidi="ar"/>
              </w:rPr>
              <w:t>任意选修课程，是必修课程的拓展和补充，由学生选择修习，主要包括时事政策教育、法律与职业教育、国家安全教育等。</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德育课程每个部分分设若干个学习领域，每个学习领域由学习目标和内容目标组成。</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实现思想政治教育与技术技能培养的有机统一。</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结合职业学校学生特点，创新思政课程教学模式。</w:t>
            </w:r>
          </w:p>
        </w:tc>
      </w:tr>
      <w:tr>
        <w:tblPrEx>
          <w:shd w:val="clear" w:color="auto" w:fill="auto"/>
          <w:tblCellMar>
            <w:top w:w="0" w:type="dxa"/>
            <w:left w:w="0" w:type="dxa"/>
            <w:bottom w:w="0" w:type="dxa"/>
            <w:right w:w="0" w:type="dxa"/>
          </w:tblCellMar>
        </w:tblPrEx>
        <w:trPr>
          <w:trHeight w:val="25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语文</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培养学生正确理解与运用祖国的语言文字，注重基本技能的训练和思维发展，加强语文实践，培养语文的应用能力，为综合职业能力的形成，以及继续学习奠定基础。</w:t>
            </w:r>
          </w:p>
        </w:tc>
        <w:tc>
          <w:tcPr>
            <w:tcW w:w="5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由基础模块、职业模块、拓展模块三个模块十五个专题组成。</w:t>
            </w:r>
          </w:p>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课程以主题和专题作为教学内容的构建方式：</w:t>
            </w:r>
          </w:p>
          <w:p>
            <w:pPr>
              <w:keepNext w:val="0"/>
              <w:keepLines w:val="0"/>
              <w:widowControl/>
              <w:numPr>
                <w:ilvl w:val="0"/>
                <w:numId w:val="0"/>
              </w:numPr>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1.中国革命传统作品选读、社会主义先进文化作品选读、劳模精神工匠精神作品研读(职业模块)专题，体现语文课程全面贯彻党的教育方针，落实“立德树人”课程性质与任务。</w:t>
            </w:r>
          </w:p>
          <w:p>
            <w:pPr>
              <w:keepNext w:val="0"/>
              <w:keepLines w:val="0"/>
              <w:widowControl/>
              <w:numPr>
                <w:ilvl w:val="0"/>
                <w:numId w:val="0"/>
              </w:numPr>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2.中外文学作品选读、实用性阅读与交流等专题，旨在引导学生阅读不同体裁的中外优秀文学作品，在感受形象、品味语言、体验情感的过程中，提高文学欣赏能力和人文素养。</w:t>
            </w:r>
          </w:p>
          <w:p>
            <w:pPr>
              <w:keepNext w:val="0"/>
              <w:keepLines w:val="0"/>
              <w:widowControl/>
              <w:numPr>
                <w:ilvl w:val="0"/>
                <w:numId w:val="0"/>
              </w:numPr>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3.跨媒介阅读与交流、科普作品的学习，微写作、广告、说明书等贴近现实生活的教学内容，丰富学生的言语实践，满足学生职业发展需要，增强学生适应与服务社会的能力。</w:t>
            </w:r>
          </w:p>
        </w:tc>
      </w:tr>
      <w:tr>
        <w:tblPrEx>
          <w:shd w:val="clear" w:color="auto" w:fill="auto"/>
          <w:tblCellMar>
            <w:top w:w="0" w:type="dxa"/>
            <w:left w:w="0" w:type="dxa"/>
            <w:bottom w:w="0" w:type="dxa"/>
            <w:right w:w="0" w:type="dxa"/>
          </w:tblCellMar>
        </w:tblPrEx>
        <w:trPr>
          <w:trHeight w:val="30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数学</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培养学生逐步提高数学运算、直观想象、逻辑推理、数学抽象、数据分析和数学建模等数学学科核心素养，初步学会用数学眼光观察世界，用数学思维分析世界，用数学语言表达世界。</w:t>
            </w:r>
          </w:p>
        </w:tc>
        <w:tc>
          <w:tcPr>
            <w:tcW w:w="5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由基础模块、拓展模块一和拓展模块二组成。</w:t>
            </w:r>
          </w:p>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础模块的内容分别是基础知识（集合、不等式）、函数（函数、指数函数与対数函数、三角函数）、几何与代数（直线与圆的方程、简单几何体）和概率与统计（概率与统计初步）；拓展模块一包含基础知识（充要条件）、函数（三角计算、数列）、几何与代数（平面向量、圆锥曲线、立体几何、复数）和概率与统计（排列组合），随机变量及其分布（统计）；</w:t>
            </w:r>
          </w:p>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拓展模块二包含七个专题：数学文化专题、数学建模专题、数学工具专题、规划与评估专题、数学与信息技术专题、数学与财经商贸专题和数学与加工制造专题、数学案例。帮助学生用数学的思维思考问题，全面提升学生的数学运算、直观想象、逻辑推理、数学抽象、数据分析和数学建模等数学学科核心素养。</w:t>
            </w:r>
          </w:p>
        </w:tc>
      </w:tr>
      <w:tr>
        <w:tblPrEx>
          <w:shd w:val="clear" w:color="auto" w:fill="auto"/>
          <w:tblCellMar>
            <w:top w:w="0" w:type="dxa"/>
            <w:left w:w="0" w:type="dxa"/>
            <w:bottom w:w="0" w:type="dxa"/>
            <w:right w:w="0" w:type="dxa"/>
          </w:tblCellMar>
        </w:tblPrEx>
        <w:trPr>
          <w:trHeight w:val="32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外语</w:t>
            </w:r>
          </w:p>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（英语）</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学生树立学习英语的信心，掌握一定的英语语言知识，具备必需的英语听、说、读、写能力，并能发挥主体作用，形成有效的英语学习策略，了解文化差异，能在不同的生活和工作情境中使用英语进行有效交流。</w:t>
            </w:r>
          </w:p>
        </w:tc>
        <w:tc>
          <w:tcPr>
            <w:tcW w:w="5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由基础模块和拓展模块两大部分组成。</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基础模块为全体中等职业学校学生必修内容，学生在完成基础部分的学习，并通过相应的测评后达到基本要求，语言能力能为专业学习打下良好的基础，并满足职业发展对英语能力的基本需求。</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拓展模块是为学有余力或有继续学习需要的学生设置的选修内容。学生在完成拓展部分的学习，并通过相应的测评后达到较高要求，语言能力能满足其今后工作、学习和生活对英语的基本需求，并为其可持续发展和终身学习奠定较扎实的基础。</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要求：</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（1）注重基础，突出实用性；</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（2）分层教学，增强选择性；</w:t>
            </w:r>
          </w:p>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（3）任务驱动，凸现趣味性。</w:t>
            </w:r>
          </w:p>
        </w:tc>
      </w:tr>
      <w:tr>
        <w:tblPrEx>
          <w:tblCellMar>
            <w:top w:w="0" w:type="dxa"/>
            <w:left w:w="0" w:type="dxa"/>
            <w:bottom w:w="0" w:type="dxa"/>
            <w:right w:w="0" w:type="dxa"/>
          </w:tblCellMar>
        </w:tblPrEx>
        <w:trPr>
          <w:trHeight w:val="31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历史</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学生进一步了解人类社会发展的基本脉络和优秀文化传统；从历史的角度了解和思考人与人、人与社会、人与自然的关系，增强历史使命感和社会责任感；培育社会主义核心价值观，树立正确的历史观、人生观和价值观。</w:t>
            </w:r>
          </w:p>
        </w:tc>
        <w:tc>
          <w:tcPr>
            <w:tcW w:w="5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由基础模块和拓展模块两个部分构成。 </w:t>
            </w:r>
          </w:p>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基础模块是各专业学生必修的基础性内容，包括“中国历史” 和“世界历史”。 </w:t>
            </w:r>
          </w:p>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拓展模块是满足学生职业发展需要，开拓学生视野，提升学生学习兴趣，供学生选修的课程。</w:t>
            </w:r>
          </w:p>
          <w:p>
            <w:pPr>
              <w:keepNext w:val="0"/>
              <w:keepLines w:val="0"/>
              <w:widowControl/>
              <w:numPr>
                <w:ilvl w:val="0"/>
                <w:numId w:val="0"/>
              </w:numPr>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1.以唯物史观为指导，促进中等职业学校学生进一步了解人类社会形态从低级到高级发展的基本脉络、基本规律和优秀文化成果；</w:t>
            </w:r>
          </w:p>
          <w:p>
            <w:pPr>
              <w:keepNext w:val="0"/>
              <w:keepLines w:val="0"/>
              <w:widowControl/>
              <w:numPr>
                <w:ilvl w:val="0"/>
                <w:numId w:val="0"/>
              </w:numPr>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2.从历史的角度了解和思考人与人、人与社会、人与自然的关系，增强历史使命感和社会责任感；</w:t>
            </w:r>
          </w:p>
          <w:p>
            <w:pPr>
              <w:keepNext w:val="0"/>
              <w:keepLines w:val="0"/>
              <w:widowControl/>
              <w:numPr>
                <w:ilvl w:val="0"/>
                <w:numId w:val="0"/>
              </w:numPr>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3.进一步弘扬以爱国主义为核心的民族精神和以改革创新为核心的时代精神，培育和践行社会主义核心价值观；</w:t>
            </w:r>
          </w:p>
          <w:p>
            <w:pPr>
              <w:keepNext w:val="0"/>
              <w:keepLines w:val="0"/>
              <w:widowControl/>
              <w:numPr>
                <w:ilvl w:val="0"/>
                <w:numId w:val="0"/>
              </w:numPr>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4.树立正确的历史观、民族观、国家观和文化观；</w:t>
            </w:r>
          </w:p>
          <w:p>
            <w:pPr>
              <w:keepNext w:val="0"/>
              <w:keepLines w:val="0"/>
              <w:widowControl/>
              <w:numPr>
                <w:ilvl w:val="0"/>
                <w:numId w:val="0"/>
              </w:numPr>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5.塑造健全的人格，养成职业精神，培养德智体美劳全面发展的社会主义建设者和接班人。</w:t>
            </w:r>
          </w:p>
        </w:tc>
      </w:tr>
      <w:tr>
        <w:tblPrEx>
          <w:shd w:val="clear" w:color="auto" w:fill="auto"/>
          <w:tblCellMar>
            <w:top w:w="0" w:type="dxa"/>
            <w:left w:w="0" w:type="dxa"/>
            <w:bottom w:w="0" w:type="dxa"/>
            <w:right w:w="0" w:type="dxa"/>
          </w:tblCellMar>
        </w:tblPrEx>
        <w:trPr>
          <w:trHeight w:val="26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信息技术</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培养学生全面提升学生的信息素养和信息化职业能力，让学生掌握信息技术设备与系统操作、网络应用、图文编辑、数据处理等相关知识。</w:t>
            </w:r>
          </w:p>
        </w:tc>
        <w:tc>
          <w:tcPr>
            <w:tcW w:w="5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等职业学校信息技术课程内容围绕学生对信息技术理解与应用的实际需求来选取，包含信息技术应用基础、网络应用、图文编辑、数据处理、程序设计入门、数字媒体技术应用、信息安全基础、人工智能初步8个部分。</w:t>
            </w:r>
          </w:p>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技术应用基础、网络应用、信息安全基础，体现信息技术课程对人类社会生产、生活方式的影响，了解信息安全常识及相关的法律法规，落实“立德树人”课程性质与任务；图文编辑、数据处理、数字媒体技术应用，采用国产软件WPS Office 2019进行演示授课，要求学生掌握日常办公软件的使用，满足学生职业发展需求，加强爱国主义教育；程序设计入门、人工智能初步，要求学生掌握使用Python语言设计简单程序，了解人工智能对社会发展的影响，增强学生对信息社会的了解，开拓学生视野。</w:t>
            </w:r>
          </w:p>
        </w:tc>
      </w:tr>
      <w:tr>
        <w:tblPrEx>
          <w:shd w:val="clear" w:color="auto" w:fill="auto"/>
          <w:tblCellMar>
            <w:top w:w="0" w:type="dxa"/>
            <w:left w:w="0" w:type="dxa"/>
            <w:bottom w:w="0" w:type="dxa"/>
            <w:right w:w="0" w:type="dxa"/>
          </w:tblCellMar>
        </w:tblPrEx>
        <w:trPr>
          <w:trHeight w:val="28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体育与</w:t>
            </w:r>
          </w:p>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健康</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培养学生具有健康的人格、强健的体魄，为学生身心健康和职业生涯发展奠定坚实的基础。</w:t>
            </w:r>
          </w:p>
        </w:tc>
        <w:tc>
          <w:tcPr>
            <w:tcW w:w="5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由基础模块和拓展模块两个部分构成：</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（1）基础模块是各专业学生必修的基础内容。基础模块包括体能和健康教育2个子模块，体能模块又包括健康体能、运动体能和职业体能，其中运动体能可结合拓展模块中的运动技能系列实施。</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拓展模块是满足学生继续学习与个性发展等方面需要的选修内容，分为拓展模块一和拓展模块二。拓展模块一为限定性选修，包括球类运动、田径类运动、体操类运动、水上类运动、冰雪类运动、武术与民族传统体育类运动和新兴体育类运动7个运动技能系列。</w:t>
            </w:r>
          </w:p>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要求：</w:t>
            </w:r>
          </w:p>
          <w:p>
            <w:pPr>
              <w:keepNext w:val="0"/>
              <w:keepLines w:val="0"/>
              <w:widowControl/>
              <w:numPr>
                <w:ilvl w:val="0"/>
                <w:numId w:val="0"/>
              </w:numPr>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1.掌握必要的体育与健康基础理论知识；</w:t>
            </w:r>
          </w:p>
          <w:p>
            <w:pPr>
              <w:keepNext w:val="0"/>
              <w:keepLines w:val="0"/>
              <w:widowControl/>
              <w:numPr>
                <w:ilvl w:val="0"/>
                <w:numId w:val="0"/>
              </w:numPr>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2.国家学生体质健康测试必需达到合格以上；</w:t>
            </w:r>
          </w:p>
          <w:p>
            <w:pPr>
              <w:keepNext w:val="0"/>
              <w:keepLines w:val="0"/>
              <w:widowControl/>
              <w:numPr>
                <w:ilvl w:val="0"/>
                <w:numId w:val="0"/>
              </w:numPr>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3.掌握二项体育运动技能，并能应用于日常体育锻炼。</w:t>
            </w:r>
          </w:p>
        </w:tc>
      </w:tr>
      <w:tr>
        <w:tblPrEx>
          <w:shd w:val="clear" w:color="auto" w:fill="auto"/>
          <w:tblCellMar>
            <w:top w:w="0" w:type="dxa"/>
            <w:left w:w="0" w:type="dxa"/>
            <w:bottom w:w="0" w:type="dxa"/>
            <w:right w:w="0" w:type="dxa"/>
          </w:tblCellMar>
        </w:tblPrEx>
        <w:trPr>
          <w:trHeight w:val="284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艺术</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学生了解或掌握不同艺术门类的基本知识、技能和原理，引导学生树立正确的世界观、人生观和价值观，增强文化自觉与自信，丰富学生人文素养，提高学生审美素质，培育学生职业素养、创新能力与合作意识。</w:t>
            </w:r>
          </w:p>
        </w:tc>
        <w:tc>
          <w:tcPr>
            <w:tcW w:w="5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由基础模块和拓展模块二部分构成，</w:t>
            </w:r>
          </w:p>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基础模块培养学生创新能力和合作精神、喜闻乐见的音乐和美术作为主要内容。课内音乐18学时，美术18学时；</w:t>
            </w:r>
          </w:p>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拓展模块是适应不同专业、不同个性特点学生需要，内容既可以是基础模块的专项拓展，也可以是与基础模块不同的艺术门类；既可以是与专业相结合的艺术拓展，也可以是具有地方特色的民间艺术。</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要求：</w:t>
            </w:r>
          </w:p>
          <w:p>
            <w:pPr>
              <w:keepNext w:val="0"/>
              <w:keepLines w:val="0"/>
              <w:widowControl/>
              <w:numPr>
                <w:ilvl w:val="0"/>
                <w:numId w:val="4"/>
              </w:numPr>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遵循艺术规律，注重感知体验；</w:t>
            </w:r>
          </w:p>
          <w:p>
            <w:pPr>
              <w:keepNext w:val="0"/>
              <w:keepLines w:val="0"/>
              <w:widowControl/>
              <w:numPr>
                <w:ilvl w:val="0"/>
                <w:numId w:val="4"/>
              </w:numPr>
              <w:suppressLineNumbers w:val="0"/>
              <w:spacing w:line="240" w:lineRule="auto"/>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加强课程建设，注重衔接融合；</w:t>
            </w:r>
          </w:p>
          <w:p>
            <w:pPr>
              <w:keepNext w:val="0"/>
              <w:keepLines w:val="0"/>
              <w:widowControl/>
              <w:numPr>
                <w:ilvl w:val="0"/>
                <w:numId w:val="4"/>
              </w:numPr>
              <w:suppressLineNumbers w:val="0"/>
              <w:spacing w:line="240" w:lineRule="auto"/>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运用信息技术，创新教学方法；</w:t>
            </w:r>
          </w:p>
          <w:p>
            <w:pPr>
              <w:keepNext w:val="0"/>
              <w:keepLines w:val="0"/>
              <w:widowControl/>
              <w:numPr>
                <w:ilvl w:val="0"/>
                <w:numId w:val="4"/>
              </w:numPr>
              <w:suppressLineNumbers w:val="0"/>
              <w:spacing w:line="240" w:lineRule="auto"/>
              <w:ind w:left="0" w:leftChars="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充分利用资源，拓展教学领域。</w:t>
            </w:r>
          </w:p>
        </w:tc>
      </w:tr>
      <w:tr>
        <w:tblPrEx>
          <w:shd w:val="clear" w:color="auto" w:fill="auto"/>
          <w:tblCellMar>
            <w:top w:w="0" w:type="dxa"/>
            <w:left w:w="0" w:type="dxa"/>
            <w:bottom w:w="0" w:type="dxa"/>
            <w:right w:w="0" w:type="dxa"/>
          </w:tblCellMar>
        </w:tblPrEx>
        <w:trPr>
          <w:trHeight w:val="27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物理</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培养社会实用型人才而开设的公共必修课。培养学生在职业实践活动的基础上掌握物理知识并在生活、生产、实践中合理应用，让学生感受物理之美，提高学生的科学文化素质和综合职业能力。</w:t>
            </w:r>
          </w:p>
        </w:tc>
        <w:tc>
          <w:tcPr>
            <w:tcW w:w="5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由基础模块、职业模块和拓展模块三个模块构成。</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（1）基础模块：主要包括物理基础和基本技能，为本课程的基础性内容和应达到的基本要求。</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（2）职业模块：学生在基础模块的基础上，以专业学习和行业的需求，侧重选择性地进一步学习相关的物理知识，培养相关技能，为适应学生相关专业需要的限定选修模块。</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（3）拓展模块：为基础模块、职业模块的进一步拓展和延伸。</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采用讲授、演示、实验、讨论、参观、制作等方式开展教学活动，重视实践活动、职业技能培养。</w:t>
            </w:r>
          </w:p>
        </w:tc>
      </w:tr>
      <w:tr>
        <w:tblPrEx>
          <w:shd w:val="clear" w:color="auto" w:fill="auto"/>
          <w:tblCellMar>
            <w:top w:w="0" w:type="dxa"/>
            <w:left w:w="0" w:type="dxa"/>
            <w:bottom w:w="0" w:type="dxa"/>
            <w:right w:w="0" w:type="dxa"/>
          </w:tblCellMar>
        </w:tblPrEx>
        <w:trPr>
          <w:trHeight w:val="262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化学</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培养社会实用型人才而开设的公共必修课。培养学生在职业实践活动的基础上掌握化学知识并在生活、生产、实践中合理应用，让学生感受化学之美，提高学生的科学文化素质和综合职业能力。</w:t>
            </w:r>
          </w:p>
        </w:tc>
        <w:tc>
          <w:tcPr>
            <w:tcW w:w="5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由基础模块和拓展模块两部分组成。</w:t>
            </w:r>
          </w:p>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础模块由化学基础知识、基本操作技能、基本方法，选取原子结构与化学键、化学反应及其规律、溶液与水溶液中的离子反应、常见无机物及其应用、简单有机化合物及其应用、生物大分子及合成高分子等主题，满足学生基本素质培养，适应社会发展的需要。同时，设置了医药卫生类、农林牧渔类、加工制造类三个拓展模块，满足不同专业学生职业发展的需要。</w:t>
            </w:r>
          </w:p>
          <w:p>
            <w:pPr>
              <w:keepNext w:val="0"/>
              <w:keepLines w:val="0"/>
              <w:widowControl/>
              <w:suppressLineNumbers w:val="0"/>
              <w:spacing w:line="240" w:lineRule="auto"/>
              <w:ind w:firstLine="44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拓展模块是适应学生学习医药卫生类、农林牧渔类、加工制造类等相关专业需要的必修内容。该模块包括反映职业特点和后续专业学习需要的知识性内容，以及培养学生职业能力必备的实践性内容。采用讲授、演示、实验、讨论、参观、制作等方式开展教学活动，重视实践活动、职业技能培养。</w:t>
            </w:r>
          </w:p>
        </w:tc>
      </w:tr>
      <w:tr>
        <w:tblPrEx>
          <w:shd w:val="clear" w:color="auto" w:fill="auto"/>
          <w:tblCellMar>
            <w:top w:w="0" w:type="dxa"/>
            <w:left w:w="0" w:type="dxa"/>
            <w:bottom w:w="0" w:type="dxa"/>
            <w:right w:w="0" w:type="dxa"/>
          </w:tblCellMar>
        </w:tblPrEx>
        <w:trPr>
          <w:trHeight w:val="13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莆阳文化</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培养学生树立对待传统文化的正确态度，养好良好品德，时刻意识到自己是有德之人。</w:t>
            </w:r>
          </w:p>
        </w:tc>
        <w:tc>
          <w:tcPr>
            <w:tcW w:w="5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感受</w:t>
            </w:r>
            <w:r>
              <w:rPr>
                <w:rFonts w:hint="eastAsia" w:ascii="宋体" w:hAnsi="宋体" w:cs="宋体"/>
                <w:i w:val="0"/>
                <w:color w:val="000000"/>
                <w:kern w:val="0"/>
                <w:sz w:val="22"/>
                <w:szCs w:val="22"/>
                <w:u w:val="none"/>
                <w:lang w:val="en-US" w:eastAsia="zh-CN" w:bidi="ar"/>
              </w:rPr>
              <w:t>莆阳文化</w:t>
            </w:r>
            <w:r>
              <w:rPr>
                <w:rFonts w:hint="eastAsia" w:ascii="宋体" w:hAnsi="宋体" w:eastAsia="宋体" w:cs="宋体"/>
                <w:i w:val="0"/>
                <w:color w:val="000000"/>
                <w:kern w:val="0"/>
                <w:sz w:val="22"/>
                <w:szCs w:val="22"/>
                <w:u w:val="none"/>
                <w:lang w:val="en-US" w:eastAsia="zh-CN" w:bidi="ar"/>
              </w:rPr>
              <w:t>的继承，主要学习</w:t>
            </w:r>
            <w:r>
              <w:rPr>
                <w:rFonts w:hint="eastAsia" w:ascii="宋体" w:hAnsi="宋体" w:cs="宋体"/>
                <w:i w:val="0"/>
                <w:color w:val="000000"/>
                <w:kern w:val="0"/>
                <w:sz w:val="22"/>
                <w:szCs w:val="22"/>
                <w:u w:val="none"/>
                <w:lang w:val="en-US" w:eastAsia="zh-CN" w:bidi="ar"/>
              </w:rPr>
              <w:t>莆阳文化</w:t>
            </w:r>
            <w:r>
              <w:rPr>
                <w:rFonts w:hint="eastAsia" w:ascii="宋体" w:hAnsi="宋体" w:eastAsia="宋体" w:cs="宋体"/>
                <w:i w:val="0"/>
                <w:color w:val="000000"/>
                <w:kern w:val="0"/>
                <w:sz w:val="22"/>
                <w:szCs w:val="22"/>
                <w:u w:val="none"/>
                <w:lang w:val="en-US" w:eastAsia="zh-CN" w:bidi="ar"/>
              </w:rPr>
              <w:t>、文献文物、地区民俗。了解</w:t>
            </w:r>
            <w:r>
              <w:rPr>
                <w:rFonts w:hint="eastAsia" w:ascii="宋体" w:hAnsi="宋体" w:cs="宋体"/>
                <w:i w:val="0"/>
                <w:color w:val="000000"/>
                <w:kern w:val="0"/>
                <w:sz w:val="22"/>
                <w:szCs w:val="22"/>
                <w:u w:val="none"/>
                <w:lang w:val="en-US" w:eastAsia="zh-CN" w:bidi="ar"/>
              </w:rPr>
              <w:t>莆阳文化</w:t>
            </w:r>
            <w:r>
              <w:rPr>
                <w:rFonts w:hint="eastAsia" w:ascii="宋体" w:hAnsi="宋体" w:eastAsia="宋体" w:cs="宋体"/>
                <w:i w:val="0"/>
                <w:color w:val="000000"/>
                <w:kern w:val="0"/>
                <w:sz w:val="22"/>
                <w:szCs w:val="22"/>
                <w:u w:val="none"/>
                <w:lang w:val="en-US" w:eastAsia="zh-CN" w:bidi="ar"/>
              </w:rPr>
              <w:t>的内容、各地方的习俗以及地区古建筑的历史文明。</w:t>
            </w:r>
          </w:p>
        </w:tc>
      </w:tr>
    </w:tbl>
    <w:p>
      <w:pPr>
        <w:adjustRightInd w:val="0"/>
        <w:spacing w:line="360" w:lineRule="exact"/>
        <w:rPr>
          <w:rFonts w:ascii="宋体" w:hAnsi="宋体" w:cs="宋体"/>
          <w:sz w:val="28"/>
        </w:rPr>
      </w:pPr>
    </w:p>
    <w:p>
      <w:pPr>
        <w:keepNext w:val="0"/>
        <w:keepLines w:val="0"/>
        <w:pageBreakBefore w:val="0"/>
        <w:numPr>
          <w:ilvl w:val="0"/>
          <w:numId w:val="3"/>
        </w:numPr>
        <w:kinsoku/>
        <w:wordWrap/>
        <w:overflowPunct/>
        <w:topLinePunct w:val="0"/>
        <w:autoSpaceDE/>
        <w:autoSpaceDN/>
        <w:bidi w:val="0"/>
        <w:adjustRightInd/>
        <w:snapToGrid/>
        <w:spacing w:line="500" w:lineRule="exact"/>
        <w:ind w:left="0" w:leftChars="0" w:firstLine="562" w:firstLineChars="200"/>
        <w:textAlignment w:val="auto"/>
        <w:rPr>
          <w:rFonts w:hint="eastAsia" w:ascii="宋体" w:hAnsi="宋体" w:cs="宋体"/>
          <w:b/>
          <w:bCs/>
          <w:sz w:val="28"/>
          <w:szCs w:val="28"/>
        </w:rPr>
      </w:pPr>
      <w:r>
        <w:rPr>
          <w:rFonts w:hint="eastAsia" w:ascii="宋体" w:hAnsi="宋体" w:cs="宋体"/>
          <w:b/>
          <w:bCs/>
          <w:sz w:val="28"/>
          <w:szCs w:val="28"/>
        </w:rPr>
        <w:t>专业</w:t>
      </w:r>
      <w:r>
        <w:rPr>
          <w:rFonts w:hint="eastAsia" w:ascii="宋体" w:hAnsi="宋体" w:cs="宋体"/>
          <w:b/>
          <w:bCs/>
          <w:sz w:val="28"/>
          <w:szCs w:val="28"/>
          <w:lang w:eastAsia="zh-CN"/>
        </w:rPr>
        <w:t>（</w:t>
      </w:r>
      <w:r>
        <w:rPr>
          <w:rFonts w:hint="eastAsia" w:ascii="宋体" w:hAnsi="宋体" w:cs="宋体"/>
          <w:b/>
          <w:bCs/>
          <w:sz w:val="28"/>
          <w:szCs w:val="28"/>
        </w:rPr>
        <w:t>技能</w:t>
      </w:r>
      <w:r>
        <w:rPr>
          <w:rFonts w:hint="eastAsia" w:ascii="宋体" w:hAnsi="宋体" w:cs="宋体"/>
          <w:b/>
          <w:bCs/>
          <w:sz w:val="28"/>
          <w:szCs w:val="28"/>
          <w:lang w:eastAsia="zh-CN"/>
        </w:rPr>
        <w:t>）</w:t>
      </w:r>
      <w:r>
        <w:rPr>
          <w:rFonts w:hint="eastAsia" w:ascii="宋体" w:hAnsi="宋体" w:cs="宋体"/>
          <w:b/>
          <w:bCs/>
          <w:sz w:val="28"/>
          <w:szCs w:val="28"/>
        </w:rPr>
        <w:t>课</w:t>
      </w:r>
    </w:p>
    <w:p>
      <w:pPr>
        <w:pStyle w:val="2"/>
        <w:numPr>
          <w:ilvl w:val="0"/>
          <w:numId w:val="0"/>
        </w:numPr>
        <w:ind w:leftChars="200"/>
      </w:pPr>
    </w:p>
    <w:tbl>
      <w:tblPr>
        <w:tblStyle w:val="9"/>
        <w:tblW w:w="8959" w:type="dxa"/>
        <w:tblInd w:w="0" w:type="dxa"/>
        <w:shd w:val="clear" w:color="auto" w:fill="auto"/>
        <w:tblLayout w:type="fixed"/>
        <w:tblCellMar>
          <w:top w:w="0" w:type="dxa"/>
          <w:left w:w="0" w:type="dxa"/>
          <w:bottom w:w="0" w:type="dxa"/>
          <w:right w:w="0" w:type="dxa"/>
        </w:tblCellMar>
      </w:tblPr>
      <w:tblGrid>
        <w:gridCol w:w="690"/>
        <w:gridCol w:w="2532"/>
        <w:gridCol w:w="5737"/>
      </w:tblGrid>
      <w:tr>
        <w:tblPrEx>
          <w:tblCellMar>
            <w:top w:w="0" w:type="dxa"/>
            <w:left w:w="0" w:type="dxa"/>
            <w:bottom w:w="0" w:type="dxa"/>
            <w:right w:w="0" w:type="dxa"/>
          </w:tblCellMar>
        </w:tblPrEx>
        <w:trPr>
          <w:trHeight w:val="47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课程名称</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课程目标</w:t>
            </w:r>
          </w:p>
        </w:tc>
        <w:tc>
          <w:tcPr>
            <w:tcW w:w="5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课程内容和要求</w:t>
            </w:r>
          </w:p>
        </w:tc>
      </w:tr>
      <w:tr>
        <w:tblPrEx>
          <w:shd w:val="clear" w:color="auto" w:fill="auto"/>
          <w:tblCellMar>
            <w:top w:w="0" w:type="dxa"/>
            <w:left w:w="0" w:type="dxa"/>
            <w:bottom w:w="0" w:type="dxa"/>
            <w:right w:w="0" w:type="dxa"/>
          </w:tblCellMar>
        </w:tblPrEx>
        <w:trPr>
          <w:trHeight w:val="511"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机械基础</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培养学生具有机械基础的基本常识。通过教学，初步具有分析和选用机械零部件及简单机械传动装置的能力；能熟练查阅、运用有关资料，初步具有正确操作和维护机械设备的能力；熟悉常用机械制造基础知识；为学生学习后续专业课程和解决生产实际问题奠定</w:t>
            </w:r>
          </w:p>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w:t>
            </w:r>
          </w:p>
        </w:tc>
        <w:tc>
          <w:tcPr>
            <w:tcW w:w="5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教学内容：带传动，螺旋传动，链传动，齿轮传动，蜗杆传动，轮系，平面连杆机构，凸轮机构，其他常用机构，轴，键、销及其连接，轴承，联轴器、离合器和制动器，液压传动和气压传动等。</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教学要求：了解机器的组成；熟练掌握常见机构和传动方式的工作原理、特点、结构及标准；掌握通用零件的用途、特点以及选材等机械基础知识；初步具有</w:t>
            </w:r>
          </w:p>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使用和维护一般机械的能力。</w:t>
            </w:r>
          </w:p>
        </w:tc>
      </w:tr>
      <w:tr>
        <w:tblPrEx>
          <w:shd w:val="clear" w:color="auto" w:fill="auto"/>
          <w:tblCellMar>
            <w:top w:w="0" w:type="dxa"/>
            <w:left w:w="0" w:type="dxa"/>
            <w:bottom w:w="0" w:type="dxa"/>
            <w:right w:w="0" w:type="dxa"/>
          </w:tblCellMar>
        </w:tblPrEx>
        <w:trPr>
          <w:trHeight w:val="206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机械制图</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培养学生具有一定空间想象能力和基本绘图技能，具有一定的视读机械图样能力和初步的图示表达能力。使学生能够用计算机会只</w:t>
            </w:r>
          </w:p>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简单地图形。</w:t>
            </w:r>
          </w:p>
        </w:tc>
        <w:tc>
          <w:tcPr>
            <w:tcW w:w="5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教学内容：主要内容有制图的基本知识，点、直线、平面的投影，立体投影，组合体，轴测图，机件的表达方法，标准件和常用件，零件图，装配图。</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教学要求：本课程教学中要强调理论联系实际，讲练结合，制图教学与生产实习相结合，尽量利用本专业的实习零件图或实物组织教学。加强测绘练习实践环</w:t>
            </w:r>
          </w:p>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节，从而培养学生的空间想象能力。</w:t>
            </w:r>
          </w:p>
        </w:tc>
      </w:tr>
      <w:tr>
        <w:tblPrEx>
          <w:shd w:val="clear" w:color="auto" w:fill="auto"/>
          <w:tblCellMar>
            <w:top w:w="0" w:type="dxa"/>
            <w:left w:w="0" w:type="dxa"/>
            <w:bottom w:w="0" w:type="dxa"/>
            <w:right w:w="0" w:type="dxa"/>
          </w:tblCellMar>
        </w:tblPrEx>
        <w:trPr>
          <w:trHeight w:val="229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钳工技术</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学生钳工操作的基本实操技能。通过任务引领、工艺分析、数学处理、常用工量具的使用、钻床操作和加工实训等活动项目，使学生具备从事本职业工种所必需的钳工操作技术。同时培养学生爱岗敬业、团结协作、吃苦耐劳的职业精神</w:t>
            </w:r>
          </w:p>
        </w:tc>
        <w:tc>
          <w:tcPr>
            <w:tcW w:w="5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教学内容：钳工的工作内容，金属切削基础知识，钳工常用量具，划线、锯削、锉削、錾削、钻孔、铰孔、锪孔刮削、攻螺纹绕弹簧等钳工基本操作技能，钳工常用设备及工具。</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要求：通过理论实践教学，让学生掌握钳工所要求的理论知识和操作技能，了解钳工常用设备的规格性能结构传动和润滑知识，了解金属切削的基本原理，使用规则及保养方法，掌握钳工常用的加工方法，具备一定的工艺分析能力，了解机器的装配基本知识。</w:t>
            </w:r>
          </w:p>
        </w:tc>
      </w:tr>
      <w:tr>
        <w:tblPrEx>
          <w:shd w:val="clear" w:color="auto" w:fill="auto"/>
          <w:tblCellMar>
            <w:top w:w="0" w:type="dxa"/>
            <w:left w:w="0" w:type="dxa"/>
            <w:bottom w:w="0" w:type="dxa"/>
            <w:right w:w="0" w:type="dxa"/>
          </w:tblCellMar>
        </w:tblPrEx>
        <w:trPr>
          <w:trHeight w:val="274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零件测量技术</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通过本课程的学习，使学生建立互换性、公差与高质量产品的概念；能正确识读、标注一般机械图纸上公差、配合及表面粗糙度要求，并能熟练查用相关国家标准；能正确选择和使用生产现场的常用量具对一般的几</w:t>
            </w:r>
          </w:p>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何量进行综合检测。</w:t>
            </w:r>
          </w:p>
        </w:tc>
        <w:tc>
          <w:tcPr>
            <w:tcW w:w="5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主要内容：尺寸精度的检测、形状和位置精度的检测、表面粗糙度的检测、常用结合件的检测、检测新技术简介、典型零件检测与质量控制等。</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要求：通过本课程的学习，使学生了解国家标准中有关公差、配合等方面的基本术语及其定义，熟悉极限与配合标准的基本规定，掌握极限与配合方面的基本计算方法及代号的标注和识读；了解形位公差的基本内容，理解形位公差代号的含义，掌握形位公差代号的标注方法；了解表面粗糙度的评定标准及基本的检测方法，掌握表面粗糙度符号、代号的注法。</w:t>
            </w:r>
          </w:p>
        </w:tc>
      </w:tr>
      <w:tr>
        <w:tblPrEx>
          <w:shd w:val="clear" w:color="auto" w:fill="auto"/>
          <w:tblCellMar>
            <w:top w:w="0" w:type="dxa"/>
            <w:left w:w="0" w:type="dxa"/>
            <w:bottom w:w="0" w:type="dxa"/>
            <w:right w:w="0" w:type="dxa"/>
          </w:tblCellMar>
        </w:tblPrEx>
        <w:trPr>
          <w:trHeight w:val="206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CAD</w:t>
            </w:r>
          </w:p>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二维绘图技术</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培养学生应用CAD软件进行绘图的基本技能。掌握CAD基本命令和灵活运用能力；培养空间想象能力和一定的分析与表达能力；</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培养使用计算机设备与CAD软件绘制机械图样的能力；培养认真细致、一丝不苟的工作作风。</w:t>
            </w:r>
          </w:p>
        </w:tc>
        <w:tc>
          <w:tcPr>
            <w:tcW w:w="5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教学内容：CAD基础知识与绘图环境设置、基本图形的绘制、简单图形（轴套类、轮盘类零件）的绘制、综合零件（叉架类、箱体类零件）的绘制、装配图的绘制及三维零件的建模。</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教学要求：通过教学，使学生熟悉CAD二维绘图的一般步骤和流程;掌握二维绘图软件的常用绘图方法和技巧，掌握零件图、装配图的标准画法与技巧；</w:t>
            </w:r>
          </w:p>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能熟练绘制零件图。</w:t>
            </w:r>
          </w:p>
        </w:tc>
      </w:tr>
      <w:tr>
        <w:tblPrEx>
          <w:shd w:val="clear" w:color="auto" w:fill="auto"/>
          <w:tblCellMar>
            <w:top w:w="0" w:type="dxa"/>
            <w:left w:w="0" w:type="dxa"/>
            <w:bottom w:w="0" w:type="dxa"/>
            <w:right w:w="0" w:type="dxa"/>
          </w:tblCellMar>
        </w:tblPrEx>
        <w:trPr>
          <w:trHeight w:val="25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数控编程与</w:t>
            </w:r>
          </w:p>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加工</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学生具备数控加工的基本知识。通过教学，使学生了解数控加工的基本原理和技术特点，了解数控加工系统，掌握数控加工和编程基础知识，熟悉数控程序代码和格式，了解各种数控加工刀具的结构和用途，具有一定的手工编程能力。该课程重点培养学生数控车、数控铣手工编程的能力。</w:t>
            </w:r>
          </w:p>
        </w:tc>
        <w:tc>
          <w:tcPr>
            <w:tcW w:w="5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教学内容：数控车床的操作训练、轴类零件的编程与加工训练、套类零件的编程与加工训练、盘类零 件编程与加工训练、组合类零件的编程与加工训练、数控车中级工编程与训练。</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要求：通过学习掌握数控仿真软件验证数控车床加工程序；掌握使用数控车床进行轮廓、螺纹、槽及孔的加工；掌握零件的长度、内径、外径、螺纹和角度的精度检验；掌握数控车床的正确操作，独立完成零件的数控车削加工；能对数控机床进行日常的维护保养。</w:t>
            </w:r>
          </w:p>
        </w:tc>
      </w:tr>
      <w:tr>
        <w:tblPrEx>
          <w:shd w:val="clear" w:color="auto" w:fill="auto"/>
          <w:tblCellMar>
            <w:top w:w="0" w:type="dxa"/>
            <w:left w:w="0" w:type="dxa"/>
            <w:bottom w:w="0" w:type="dxa"/>
            <w:right w:w="0" w:type="dxa"/>
          </w:tblCellMar>
        </w:tblPrEx>
        <w:trPr>
          <w:trHeight w:val="25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三维建模设计</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sz w:val="22"/>
                <w:szCs w:val="22"/>
              </w:rPr>
              <w:t>培养学生具备运用三维设计软件进行三维建模、自动编程、装配设计、工程图制作的基本能力。</w:t>
            </w:r>
          </w:p>
        </w:tc>
        <w:tc>
          <w:tcPr>
            <w:tcW w:w="5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rPr>
              <w:t>教学内容：主要内容有三维建模软件零件建模基础 部件装配设计、零件图的绘制、三维装配视图、工程图制作和设计表达的基本方法和操作步骤。</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sz w:val="22"/>
                <w:szCs w:val="22"/>
              </w:rPr>
            </w:pP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sz w:val="22"/>
                <w:szCs w:val="22"/>
              </w:rPr>
              <w:t>教学要求：通过教学，使学生掌握三维设计软件三维建模的基本方法和操作步骤。了解零件图、装配设计和工程图制作的基本方法和操作步骤。</w:t>
            </w:r>
          </w:p>
        </w:tc>
      </w:tr>
      <w:tr>
        <w:tblPrEx>
          <w:shd w:val="clear" w:color="auto" w:fill="auto"/>
          <w:tblCellMar>
            <w:top w:w="0" w:type="dxa"/>
            <w:left w:w="0" w:type="dxa"/>
            <w:bottom w:w="0" w:type="dxa"/>
            <w:right w:w="0" w:type="dxa"/>
          </w:tblCellMar>
        </w:tblPrEx>
        <w:trPr>
          <w:trHeight w:val="365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3D</w:t>
            </w:r>
          </w:p>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打印技术应用</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通过本课程的学习，要让学生全面掌握3D打印零件从设计到加工，到后处理的整个工艺流程；掌握打印机的结构和操作方法；掌握切片软件，模型拆分软件的使用方法；掌握复杂零件打印和装配的方法；体验自主设计一个产品并打印制造出来的整个过程，满足学生设计、创新并付诸实践的需</w:t>
            </w:r>
          </w:p>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求。</w:t>
            </w:r>
          </w:p>
        </w:tc>
        <w:tc>
          <w:tcPr>
            <w:tcW w:w="5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主要内容：介绍3D打印成形工艺分类、3D打印机与打印材料等；通过软件与实例讲解结合，内容涵盖了三维造型软件（Creo、3DStudioMax）、逆向工程软件（GeomagicStudio）、3D打印软件（Simplify3D、Makerware、Cura）、医学影像处理软件（Mimics）及STL数据编辑与修复软件（Netfabb、Meshmixer、Magics）；后通过3D打印机组装实战，重在培养读者动手操作与团队协作能力。</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要求：通过本课程的学习，要让学生全面掌握3D打印零件从设计到加工，到后处理的整个工艺流程；掌握打印机的结构和操作方法；掌握切片软件，模型拆分软件的使用方法；掌握复杂零件打印和装配的方法；体验自主设计一个产品并打印制造出来的整个过程，满足学生设计、创新并付诸实践的需求。</w:t>
            </w:r>
          </w:p>
        </w:tc>
      </w:tr>
      <w:tr>
        <w:tblPrEx>
          <w:shd w:val="clear" w:color="auto" w:fill="auto"/>
          <w:tblCellMar>
            <w:top w:w="0" w:type="dxa"/>
            <w:left w:w="0" w:type="dxa"/>
            <w:bottom w:w="0" w:type="dxa"/>
            <w:right w:w="0" w:type="dxa"/>
          </w:tblCellMar>
        </w:tblPrEx>
        <w:trPr>
          <w:trHeight w:val="365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零部件测绘综合实训</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在本课程中，学生将接触较大型的设计绘图训练，把所学到的制图知识全面、综合性地运用到测绘实践中，巩固机械制图课的学习效果，提升实际动手能力（如零件拆装、测绘工具使用、徒手绘图、仪器绘图以及图样管理等），为后续的课程设计、毕业设计等环节打下必要扎实的基础。</w:t>
            </w:r>
          </w:p>
        </w:tc>
        <w:tc>
          <w:tcPr>
            <w:tcW w:w="5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主要内容：弄清部件的工作原理、装配关系及零件的构型特点；正确使用工具拆卸零、部件，有序管理所拆零件（尤其是小零件）；正确使用测量工具，所测尺寸能作规范（或标准）处理，相关零件间的尺寸要匹配；合理制定零部件的表达方案，见解应独特、明晰；正确注写零件图、装配图的尺寸及技术要求；具备徒手、尺规作图的技能；图样的格式、管理应规范。</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要求：实训教学中结合本专业实习产品的质量实际，举一反三，深入浅出，使学生正确、熟练地使用测绘工具，规范处理、妥善管理所测数据，并将数据合理地用于绘图中。对学生进行了全面的制图知识训练，大幅提升了学生综合处理机械图样的能力，其影响将辐射后续的课程设计、毕业设计甚或未来的工作。</w:t>
            </w:r>
          </w:p>
        </w:tc>
      </w:tr>
      <w:tr>
        <w:tblPrEx>
          <w:shd w:val="clear" w:color="auto" w:fill="auto"/>
          <w:tblCellMar>
            <w:top w:w="0" w:type="dxa"/>
            <w:left w:w="0" w:type="dxa"/>
            <w:bottom w:w="0" w:type="dxa"/>
            <w:right w:w="0" w:type="dxa"/>
          </w:tblCellMar>
        </w:tblPrEx>
        <w:trPr>
          <w:trHeight w:val="206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电工基础</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本课程通过学习，使学生具备本专业的高素质劳动者和高级技术应用性人才所必须的电路的基本理论和分析计算的基本方法。培养学生具有一定的电工实验技能，为进一步学习其他专业课打下基础。同时培养学生爱岗敬业、团结协作的职业精神。</w:t>
            </w:r>
          </w:p>
        </w:tc>
        <w:tc>
          <w:tcPr>
            <w:tcW w:w="5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主要内容：主要内容有直流电路，磁场与电磁感应，正弦交流电，周期性非正弦交流电路。</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教学要求：教学中要启发引导学生学会分析求解电工题的基本方法，注意理论联系实际，培养学生分析问题和解决问题的能力，注意与物理课的衔接，完成规定的电工实验。</w:t>
            </w:r>
          </w:p>
        </w:tc>
      </w:tr>
      <w:tr>
        <w:tblPrEx>
          <w:shd w:val="clear" w:color="auto" w:fill="auto"/>
          <w:tblCellMar>
            <w:top w:w="0" w:type="dxa"/>
            <w:left w:w="0" w:type="dxa"/>
            <w:bottom w:w="0" w:type="dxa"/>
            <w:right w:w="0" w:type="dxa"/>
          </w:tblCellMar>
        </w:tblPrEx>
        <w:trPr>
          <w:trHeight w:val="274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3D</w:t>
            </w:r>
          </w:p>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打印综合实训</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要让学生全面掌握3D打印零件从设计到加工，到后处理的整个工艺流程；掌握打印机的结构和操作方法；掌握切片软件，模型拆分软件的使用方法；掌握复杂零件打印和装配的方法；体验自主设计一个产品并打印制造出来的整个过程，满足学生设计、创新并付诸实践的需求。</w:t>
            </w:r>
          </w:p>
        </w:tc>
        <w:tc>
          <w:tcPr>
            <w:tcW w:w="5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教学内容：掌握基于特征的产品设计结构部件的建模方法，掌握三维实体造型、建模、曲面设计打印与制造工艺。</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要求：阅读分析产品快速表现图纸、产品草绘结构及产品相关零件图；提升学生的设计空间的想象能力；产品设计出图能力；能完成不同软件间的文件交换与共享。掌握基于特征的产品设计结构部件的建模方法，掌握三维实体造型、建模、曲面设计打印与制造工艺。通过学习完本课程，达到培养学生独立分析问题，解决问题的能力；拥有实事求是的学风和创新精神；具有培养良好的协作精神。</w:t>
            </w:r>
          </w:p>
        </w:tc>
      </w:tr>
      <w:tr>
        <w:tblPrEx>
          <w:shd w:val="clear" w:color="auto" w:fill="auto"/>
          <w:tblCellMar>
            <w:top w:w="0" w:type="dxa"/>
            <w:left w:w="0" w:type="dxa"/>
            <w:bottom w:w="0" w:type="dxa"/>
            <w:right w:w="0" w:type="dxa"/>
          </w:tblCellMar>
        </w:tblPrEx>
        <w:trPr>
          <w:trHeight w:val="320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数控加工综合实训</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养学生数控加工的综合能力。以数控加工综合实训为目标，以数控工艺、编程和机床操作三大技术为核心，全面、系统地介绍了数控加工的工艺分析，数控加工的编程基础与自动编程方法，数控车削加工、加工中心。重在综合性，实践性，通过典型零件加工实例并经过实际操作，全面提高学生对数控机床的编程和操作水平。通过本课程的学习,为全面提高学生的综合能力提供有力的保障。</w:t>
            </w:r>
          </w:p>
        </w:tc>
        <w:tc>
          <w:tcPr>
            <w:tcW w:w="5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主要内容：本课程是数控专业的一门重要的综合性专业实践教学课程，是对学生的数车、数控铣削加工工艺规程设计及实施能力、数控编程能力、数控车床操作及加工调整能力、数控铣床（加工中心）操作及加工调整能力、加工现场协调能力等综合训练和评价。</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spacing w:line="240" w:lineRule="auto"/>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要求：通过学习掌握数控仿真软件验证数控车床加工程序；掌握使用数控车床进行轮廓、螺纹、槽及孔的加工；掌握零件的长度、内径、外径、螺纹和角度的精度检验；掌握数控车床的正确操作，独立完成零件的数控车削加工；能对数控机床进行日常的维护保养。通过实训使学生初步具备数控铣削加工技术的综合应用能力，达到数控车和数控铣中级工要求。</w:t>
            </w:r>
          </w:p>
        </w:tc>
      </w:tr>
      <w:tr>
        <w:tblPrEx>
          <w:shd w:val="clear" w:color="auto" w:fill="auto"/>
          <w:tblCellMar>
            <w:top w:w="0" w:type="dxa"/>
            <w:left w:w="0" w:type="dxa"/>
            <w:bottom w:w="0" w:type="dxa"/>
            <w:right w:w="0" w:type="dxa"/>
          </w:tblCellMar>
        </w:tblPrEx>
        <w:trPr>
          <w:trHeight w:val="73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创业潜能开发</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本课程基于创造学关于人的创造力开发的理论，融合并吸收了创造学、哲学、心理学、教育学、人才学、思维科学、TRIZ、可拓学等关于人的创新潜能开发的研究成果，着力于个体心理层面的创新意识唤醒、创新潜能发现、创新思维培养、创新方法学习，创新人格完善。</w:t>
            </w:r>
          </w:p>
        </w:tc>
        <w:tc>
          <w:tcPr>
            <w:tcW w:w="5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教学内容：主要内容包括认识创新与自身的创新潜能、创新思维与训练、创新方法、创新实践四个单元等学习课题。</w:t>
            </w:r>
          </w:p>
          <w:p>
            <w:pPr>
              <w:keepNext w:val="0"/>
              <w:keepLines w:val="0"/>
              <w:widowControl/>
              <w:suppressLineNumbers w:val="0"/>
              <w:spacing w:line="240" w:lineRule="auto"/>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spacing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教学要求：坚持面向全体、注重引导、结合专业、强化实践的原则，遵循教育教学规律，坚持理论讲授与案例分析相结合、小组讨论与角色体验相结合、经验传授与创业实践相结合，把知识传授、思想碰撞和实践体验有机统一起来，调动学生学习的积极性、主动性和创造性，不断提高教学质量和水平。</w:t>
            </w:r>
          </w:p>
        </w:tc>
      </w:tr>
    </w:tbl>
    <w:p>
      <w:pPr>
        <w:pageBreakBefore w:val="0"/>
        <w:widowControl/>
        <w:kinsoku/>
        <w:wordWrap/>
        <w:overflowPunct/>
        <w:topLinePunct w:val="0"/>
        <w:autoSpaceDE/>
        <w:autoSpaceDN/>
        <w:bidi w:val="0"/>
        <w:adjustRightInd/>
        <w:snapToGrid/>
        <w:spacing w:line="460" w:lineRule="exact"/>
        <w:ind w:firstLine="562" w:firstLineChars="200"/>
        <w:jc w:val="left"/>
        <w:rPr>
          <w:rFonts w:ascii="宋体" w:hAnsi="宋体" w:cs="宋体"/>
          <w:b/>
          <w:color w:val="171717"/>
          <w:kern w:val="0"/>
          <w:sz w:val="28"/>
          <w:szCs w:val="28"/>
        </w:rPr>
      </w:pPr>
      <w:r>
        <w:rPr>
          <w:rFonts w:hint="eastAsia" w:ascii="宋体" w:hAnsi="宋体" w:cs="宋体"/>
          <w:b/>
          <w:color w:val="171717"/>
          <w:kern w:val="0"/>
          <w:sz w:val="28"/>
          <w:szCs w:val="28"/>
        </w:rPr>
        <w:t>（三）综合实训</w:t>
      </w:r>
    </w:p>
    <w:p>
      <w:pPr>
        <w:pageBreakBefore w:val="0"/>
        <w:widowControl/>
        <w:kinsoku/>
        <w:wordWrap/>
        <w:overflowPunct/>
        <w:topLinePunct w:val="0"/>
        <w:autoSpaceDE/>
        <w:autoSpaceDN/>
        <w:bidi w:val="0"/>
        <w:adjustRightInd/>
        <w:snapToGrid/>
        <w:spacing w:line="460" w:lineRule="exact"/>
        <w:ind w:firstLine="560" w:firstLineChars="200"/>
        <w:jc w:val="left"/>
        <w:rPr>
          <w:rFonts w:ascii="宋体" w:hAnsi="宋体" w:cs="宋体"/>
          <w:sz w:val="28"/>
        </w:rPr>
      </w:pPr>
      <w:r>
        <w:rPr>
          <w:rFonts w:hint="eastAsia" w:ascii="宋体" w:hAnsi="宋体" w:cs="宋体"/>
          <w:sz w:val="28"/>
        </w:rPr>
        <w:t>综合实训教学以提升学生综合职业能力为教学目标，与企业合作开发综合实训项目，采取集中实训的教学组织形式，校企教师共同管理和考核学生。</w:t>
      </w:r>
    </w:p>
    <w:p>
      <w:pPr>
        <w:pageBreakBefore w:val="0"/>
        <w:widowControl/>
        <w:kinsoku/>
        <w:wordWrap/>
        <w:overflowPunct/>
        <w:topLinePunct w:val="0"/>
        <w:autoSpaceDE/>
        <w:autoSpaceDN/>
        <w:bidi w:val="0"/>
        <w:adjustRightInd/>
        <w:snapToGrid/>
        <w:spacing w:line="460" w:lineRule="exact"/>
        <w:ind w:firstLine="560" w:firstLineChars="200"/>
        <w:jc w:val="left"/>
        <w:rPr>
          <w:rFonts w:ascii="宋体" w:hAnsi="宋体" w:cs="宋体"/>
          <w:bCs/>
          <w:color w:val="000000"/>
          <w:kern w:val="0"/>
          <w:sz w:val="28"/>
          <w:szCs w:val="28"/>
        </w:rPr>
      </w:pPr>
      <w:r>
        <w:rPr>
          <w:rFonts w:hint="eastAsia" w:ascii="宋体" w:hAnsi="宋体" w:cs="宋体"/>
          <w:sz w:val="28"/>
        </w:rPr>
        <w:t>按数控加工实际生产和数控编程岗位的要求，结合数控机床加工，通过具体的项目训练，合理分析和处理CAD/CAM数据，分析数据、工艺和质量的关系，熟练地进行零件数据和加工程序的修改，熟练完成零件的建模、编程和加工，为到企业实习做好准备。</w:t>
      </w:r>
    </w:p>
    <w:p>
      <w:pPr>
        <w:pageBreakBefore w:val="0"/>
        <w:widowControl/>
        <w:kinsoku/>
        <w:wordWrap/>
        <w:overflowPunct/>
        <w:topLinePunct w:val="0"/>
        <w:autoSpaceDE/>
        <w:autoSpaceDN/>
        <w:bidi w:val="0"/>
        <w:adjustRightInd/>
        <w:snapToGrid/>
        <w:spacing w:line="460" w:lineRule="exact"/>
        <w:ind w:firstLine="562" w:firstLineChars="200"/>
        <w:jc w:val="left"/>
        <w:rPr>
          <w:rFonts w:ascii="宋体" w:hAnsi="宋体" w:cs="宋体"/>
          <w:b/>
          <w:color w:val="171717"/>
          <w:kern w:val="0"/>
          <w:sz w:val="28"/>
          <w:szCs w:val="28"/>
        </w:rPr>
      </w:pPr>
      <w:r>
        <w:rPr>
          <w:rFonts w:hint="eastAsia" w:ascii="宋体" w:hAnsi="宋体" w:cs="宋体"/>
          <w:b/>
          <w:color w:val="171717"/>
          <w:kern w:val="0"/>
          <w:sz w:val="28"/>
          <w:szCs w:val="28"/>
        </w:rPr>
        <w:t>（</w:t>
      </w:r>
      <w:r>
        <w:rPr>
          <w:rFonts w:hint="eastAsia" w:ascii="宋体" w:hAnsi="宋体" w:cs="宋体"/>
          <w:b/>
          <w:color w:val="171717"/>
          <w:kern w:val="0"/>
          <w:sz w:val="28"/>
          <w:szCs w:val="28"/>
          <w:lang w:val="en-US" w:eastAsia="zh-CN"/>
        </w:rPr>
        <w:t>四</w:t>
      </w:r>
      <w:r>
        <w:rPr>
          <w:rFonts w:hint="eastAsia" w:ascii="宋体" w:hAnsi="宋体" w:cs="宋体"/>
          <w:b/>
          <w:color w:val="171717"/>
          <w:kern w:val="0"/>
          <w:sz w:val="28"/>
          <w:szCs w:val="28"/>
        </w:rPr>
        <w:t>）顶岗实习</w:t>
      </w:r>
    </w:p>
    <w:p>
      <w:pPr>
        <w:pageBreakBefore w:val="0"/>
        <w:widowControl/>
        <w:kinsoku/>
        <w:wordWrap/>
        <w:overflowPunct/>
        <w:topLinePunct w:val="0"/>
        <w:autoSpaceDE/>
        <w:autoSpaceDN/>
        <w:bidi w:val="0"/>
        <w:adjustRightInd/>
        <w:snapToGrid/>
        <w:spacing w:line="460" w:lineRule="exact"/>
        <w:ind w:firstLine="560" w:firstLineChars="200"/>
        <w:jc w:val="left"/>
        <w:rPr>
          <w:rFonts w:ascii="宋体" w:hAnsi="宋体" w:cs="宋体"/>
          <w:sz w:val="28"/>
        </w:rPr>
      </w:pPr>
      <w:r>
        <w:rPr>
          <w:rFonts w:hint="eastAsia" w:ascii="宋体" w:hAnsi="宋体" w:cs="宋体"/>
          <w:sz w:val="28"/>
        </w:rPr>
        <w:t>顶岗实习是本专业学生职业技能和职业岗位工作能力培养的重要实践教学环节，要认真落实教育部、财政部关于《中等职业学校学生实习管理办法》的有关要求，保证学生顶岗实习的岗位与其所学专业面向的岗位群基本一致。在确保学生实习总量的前提下，可根据实际需要，通过校企合作，实行工学交替、多学期、分阶段安排学生实习。</w:t>
      </w:r>
    </w:p>
    <w:p>
      <w:pPr>
        <w:pageBreakBefore w:val="0"/>
        <w:widowControl/>
        <w:kinsoku/>
        <w:wordWrap/>
        <w:overflowPunct/>
        <w:topLinePunct w:val="0"/>
        <w:autoSpaceDE/>
        <w:autoSpaceDN/>
        <w:bidi w:val="0"/>
        <w:adjustRightInd/>
        <w:snapToGrid/>
        <w:spacing w:line="460" w:lineRule="exact"/>
        <w:ind w:firstLine="560" w:firstLineChars="200"/>
        <w:jc w:val="left"/>
        <w:rPr>
          <w:rFonts w:ascii="宋体" w:hAnsi="宋体" w:cs="宋体"/>
          <w:sz w:val="28"/>
        </w:rPr>
      </w:pPr>
      <w:r>
        <w:rPr>
          <w:rFonts w:hint="eastAsia" w:ascii="宋体" w:hAnsi="宋体" w:cs="宋体"/>
          <w:sz w:val="28"/>
        </w:rPr>
        <w:t>通过到企业顶岗实习等校企结合形式，培养学生的综合职业素养。针对企业具体的产品，使学生在实践中进一步消化专业技术知识，提高专业技能，同时，了解企业产品的其它生产技术和加工方式，了解企业的生产管理、企业制度和企业文化，使学生进行必要的职业体验和社会体验，从而逐渐认识企业、认识专业、了解职业，熟悉企业工作环境、管理体制和本专业工作岗位的基本情况，形成职业认同，培养更全面的专业技术和职业素质，为就业做好全面的准备。</w:t>
      </w:r>
    </w:p>
    <w:p>
      <w:pPr>
        <w:pStyle w:val="3"/>
        <w:pageBreakBefore w:val="0"/>
        <w:kinsoku/>
        <w:wordWrap/>
        <w:overflowPunct/>
        <w:topLinePunct w:val="0"/>
        <w:autoSpaceDE/>
        <w:autoSpaceDN/>
        <w:bidi w:val="0"/>
        <w:adjustRightInd/>
        <w:snapToGrid/>
        <w:spacing w:after="0" w:line="460" w:lineRule="exact"/>
        <w:ind w:firstLine="562" w:firstLineChars="200"/>
        <w:jc w:val="left"/>
        <w:outlineLvl w:val="0"/>
        <w:rPr>
          <w:rFonts w:ascii="黑体" w:hAnsi="黑体" w:eastAsia="黑体"/>
          <w:b/>
          <w:bCs w:val="0"/>
          <w:sz w:val="28"/>
          <w:szCs w:val="28"/>
        </w:rPr>
      </w:pPr>
      <w:bookmarkStart w:id="10" w:name="_Toc17292"/>
      <w:r>
        <w:rPr>
          <w:rFonts w:hint="eastAsia" w:ascii="黑体" w:hAnsi="黑体" w:eastAsia="黑体"/>
          <w:b/>
          <w:bCs w:val="0"/>
          <w:sz w:val="28"/>
          <w:szCs w:val="28"/>
        </w:rPr>
        <w:t>七、教学进程总体安排</w:t>
      </w:r>
      <w:bookmarkEnd w:id="10"/>
    </w:p>
    <w:p>
      <w:pPr>
        <w:pageBreakBefore w:val="0"/>
        <w:kinsoku/>
        <w:wordWrap/>
        <w:overflowPunct/>
        <w:topLinePunct w:val="0"/>
        <w:autoSpaceDE/>
        <w:autoSpaceDN/>
        <w:bidi w:val="0"/>
        <w:adjustRightInd/>
        <w:snapToGrid/>
        <w:spacing w:line="460" w:lineRule="exact"/>
        <w:ind w:firstLine="562" w:firstLineChars="200"/>
        <w:rPr>
          <w:rFonts w:ascii="宋体" w:hAnsi="宋体" w:cs="宋体"/>
          <w:b/>
          <w:sz w:val="28"/>
          <w:szCs w:val="28"/>
        </w:rPr>
      </w:pPr>
      <w:r>
        <w:rPr>
          <w:rFonts w:hint="eastAsia" w:ascii="宋体" w:hAnsi="宋体" w:cs="宋体"/>
          <w:b/>
          <w:sz w:val="28"/>
          <w:szCs w:val="28"/>
        </w:rPr>
        <w:t>（一）教学安排</w:t>
      </w:r>
    </w:p>
    <w:p>
      <w:pPr>
        <w:pageBreakBefore w:val="0"/>
        <w:kinsoku/>
        <w:wordWrap/>
        <w:overflowPunct/>
        <w:topLinePunct w:val="0"/>
        <w:autoSpaceDE/>
        <w:autoSpaceDN/>
        <w:bidi w:val="0"/>
        <w:adjustRightInd/>
        <w:snapToGrid/>
        <w:spacing w:line="240" w:lineRule="auto"/>
        <w:ind w:firstLine="560" w:firstLineChars="200"/>
        <w:jc w:val="left"/>
        <w:textAlignment w:val="baseline"/>
        <w:rPr>
          <w:rFonts w:hint="eastAsia" w:ascii="宋体" w:hAnsi="宋体" w:eastAsia="宋体" w:cs="宋体"/>
          <w:b/>
          <w:sz w:val="28"/>
          <w:szCs w:val="28"/>
        </w:rPr>
      </w:pPr>
      <w:r>
        <w:rPr>
          <w:rFonts w:hint="eastAsia" w:ascii="宋体" w:hAnsi="宋体" w:eastAsia="宋体" w:cs="宋体"/>
          <w:color w:val="000000"/>
          <w:sz w:val="28"/>
          <w:szCs w:val="28"/>
        </w:rPr>
        <w:t>本方案中每学年为52周，其中教学时间为第一、二学年教学活动</w:t>
      </w:r>
      <w:r>
        <w:rPr>
          <w:rFonts w:hint="eastAsia" w:ascii="宋体" w:hAnsi="宋体" w:eastAsia="宋体" w:cs="宋体"/>
          <w:color w:val="000000"/>
          <w:sz w:val="28"/>
          <w:szCs w:val="28"/>
          <w:lang w:val="en-US" w:eastAsia="zh-CN"/>
        </w:rPr>
        <w:t>36</w:t>
      </w:r>
      <w:r>
        <w:rPr>
          <w:rFonts w:hint="eastAsia" w:ascii="宋体" w:hAnsi="宋体" w:eastAsia="宋体" w:cs="宋体"/>
          <w:color w:val="000000"/>
          <w:sz w:val="28"/>
          <w:szCs w:val="28"/>
        </w:rPr>
        <w:t>周；第三学期上学期教学活动</w:t>
      </w:r>
      <w:r>
        <w:rPr>
          <w:rFonts w:hint="eastAsia" w:ascii="宋体" w:hAnsi="宋体" w:eastAsia="宋体" w:cs="宋体"/>
          <w:color w:val="000000"/>
          <w:sz w:val="28"/>
          <w:szCs w:val="28"/>
          <w:lang w:val="en-US" w:eastAsia="zh-CN"/>
        </w:rPr>
        <w:t>18</w:t>
      </w:r>
      <w:r>
        <w:rPr>
          <w:rFonts w:hint="eastAsia" w:ascii="宋体" w:hAnsi="宋体" w:eastAsia="宋体" w:cs="宋体"/>
          <w:color w:val="000000"/>
          <w:sz w:val="28"/>
          <w:szCs w:val="28"/>
        </w:rPr>
        <w:t>周，周学时为</w:t>
      </w:r>
      <w:r>
        <w:rPr>
          <w:rFonts w:hint="eastAsia" w:ascii="宋体" w:hAnsi="宋体" w:eastAsia="宋体" w:cs="宋体"/>
          <w:color w:val="000000"/>
          <w:sz w:val="28"/>
          <w:szCs w:val="28"/>
          <w:lang w:val="en-US" w:eastAsia="zh-CN"/>
        </w:rPr>
        <w:t>33</w:t>
      </w:r>
      <w:r>
        <w:rPr>
          <w:rFonts w:hint="eastAsia" w:ascii="宋体" w:hAnsi="宋体" w:eastAsia="宋体" w:cs="宋体"/>
          <w:color w:val="000000"/>
          <w:sz w:val="28"/>
          <w:szCs w:val="28"/>
        </w:rPr>
        <w:t>学时，下学期到企业顶岗实习</w:t>
      </w:r>
      <w:r>
        <w:rPr>
          <w:rFonts w:hint="eastAsia" w:ascii="宋体" w:hAnsi="宋体" w:eastAsia="宋体" w:cs="宋体"/>
          <w:color w:val="000000"/>
          <w:sz w:val="28"/>
          <w:szCs w:val="28"/>
          <w:lang w:val="en-US" w:eastAsia="zh-CN"/>
        </w:rPr>
        <w:t>18</w:t>
      </w:r>
      <w:r>
        <w:rPr>
          <w:rFonts w:hint="eastAsia" w:ascii="宋体" w:hAnsi="宋体" w:eastAsia="宋体" w:cs="宋体"/>
          <w:color w:val="000000"/>
          <w:sz w:val="28"/>
          <w:szCs w:val="28"/>
        </w:rPr>
        <w:t>周</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每</w:t>
      </w:r>
      <w:r>
        <w:rPr>
          <w:rFonts w:hint="eastAsia" w:ascii="宋体" w:hAnsi="宋体" w:eastAsia="宋体" w:cs="宋体"/>
          <w:color w:val="000000"/>
          <w:sz w:val="28"/>
          <w:szCs w:val="28"/>
        </w:rPr>
        <w:t>周约按3</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学时计算。</w:t>
      </w:r>
    </w:p>
    <w:p>
      <w:pPr>
        <w:rPr>
          <w:rFonts w:hint="eastAsia" w:ascii="宋体" w:hAnsi="宋体" w:cs="宋体"/>
          <w:b/>
          <w:color w:val="auto"/>
          <w:sz w:val="28"/>
          <w:szCs w:val="28"/>
        </w:rPr>
      </w:pPr>
      <w:r>
        <w:rPr>
          <w:rFonts w:hint="eastAsia" w:ascii="宋体" w:hAnsi="宋体" w:cs="宋体"/>
          <w:b/>
          <w:color w:val="auto"/>
          <w:sz w:val="28"/>
          <w:szCs w:val="28"/>
        </w:rPr>
        <w:br w:type="page"/>
      </w:r>
    </w:p>
    <w:p>
      <w:pPr>
        <w:pageBreakBefore w:val="0"/>
        <w:kinsoku/>
        <w:wordWrap/>
        <w:overflowPunct/>
        <w:topLinePunct w:val="0"/>
        <w:autoSpaceDE/>
        <w:autoSpaceDN/>
        <w:bidi w:val="0"/>
        <w:adjustRightInd/>
        <w:snapToGrid/>
        <w:spacing w:line="460" w:lineRule="exact"/>
        <w:ind w:firstLine="562" w:firstLineChars="200"/>
        <w:rPr>
          <w:rFonts w:ascii="宋体" w:hAnsi="宋体" w:cs="宋体"/>
          <w:b/>
          <w:color w:val="auto"/>
          <w:sz w:val="28"/>
          <w:szCs w:val="28"/>
        </w:rPr>
      </w:pPr>
      <w:r>
        <w:rPr>
          <w:rFonts w:hint="eastAsia" w:ascii="宋体" w:hAnsi="宋体" w:cs="宋体"/>
          <w:b/>
          <w:color w:val="auto"/>
          <w:sz w:val="28"/>
          <w:szCs w:val="28"/>
        </w:rPr>
        <w:t xml:space="preserve">（二）教学进程表 </w:t>
      </w:r>
    </w:p>
    <w:p>
      <w:pPr>
        <w:rPr>
          <w:rFonts w:hint="eastAsia" w:ascii="黑体" w:hAnsi="黑体" w:eastAsia="黑体"/>
          <w:b/>
          <w:sz w:val="28"/>
          <w:szCs w:val="28"/>
          <w:lang w:eastAsia="zh-CN"/>
        </w:rPr>
      </w:pPr>
      <w:r>
        <w:rPr>
          <w:rFonts w:hint="eastAsia" w:ascii="黑体" w:hAnsi="黑体" w:eastAsia="黑体"/>
          <w:b/>
          <w:sz w:val="28"/>
          <w:szCs w:val="28"/>
          <w:lang w:eastAsia="zh-CN"/>
        </w:rPr>
        <w:drawing>
          <wp:inline distT="0" distB="0" distL="114300" distR="114300">
            <wp:extent cx="5272405" cy="6477635"/>
            <wp:effectExtent l="0" t="0" r="4445" b="18415"/>
            <wp:docPr id="10" name="图片 10" descr="1653096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53096325(1)"/>
                    <pic:cNvPicPr>
                      <a:picLocks noChangeAspect="1"/>
                    </pic:cNvPicPr>
                  </pic:nvPicPr>
                  <pic:blipFill>
                    <a:blip r:embed="rId13"/>
                    <a:stretch>
                      <a:fillRect/>
                    </a:stretch>
                  </pic:blipFill>
                  <pic:spPr>
                    <a:xfrm>
                      <a:off x="0" y="0"/>
                      <a:ext cx="5272405" cy="6477635"/>
                    </a:xfrm>
                    <a:prstGeom prst="rect">
                      <a:avLst/>
                    </a:prstGeom>
                  </pic:spPr>
                </pic:pic>
              </a:graphicData>
            </a:graphic>
          </wp:inline>
        </w:drawing>
      </w:r>
    </w:p>
    <w:p>
      <w:pPr>
        <w:pStyle w:val="3"/>
        <w:pageBreakBefore w:val="0"/>
        <w:kinsoku/>
        <w:wordWrap/>
        <w:overflowPunct/>
        <w:topLinePunct w:val="0"/>
        <w:autoSpaceDE/>
        <w:autoSpaceDN/>
        <w:bidi w:val="0"/>
        <w:adjustRightInd/>
        <w:snapToGrid/>
        <w:spacing w:after="0" w:line="500" w:lineRule="exact"/>
        <w:ind w:firstLine="562" w:firstLineChars="200"/>
        <w:jc w:val="left"/>
        <w:textAlignment w:val="auto"/>
        <w:outlineLvl w:val="0"/>
        <w:rPr>
          <w:rFonts w:ascii="黑体" w:hAnsi="黑体" w:eastAsia="黑体"/>
          <w:b/>
          <w:bCs w:val="0"/>
          <w:sz w:val="28"/>
          <w:szCs w:val="28"/>
        </w:rPr>
      </w:pPr>
      <w:bookmarkStart w:id="11" w:name="_Toc18083"/>
      <w:r>
        <w:rPr>
          <w:rFonts w:hint="eastAsia" w:ascii="黑体" w:hAnsi="黑体" w:eastAsia="黑体"/>
          <w:b/>
          <w:bCs w:val="0"/>
          <w:sz w:val="28"/>
          <w:szCs w:val="28"/>
        </w:rPr>
        <w:t>八、实施保障</w:t>
      </w:r>
      <w:bookmarkEnd w:id="11"/>
    </w:p>
    <w:p>
      <w:pPr>
        <w:pageBreakBefore w:val="0"/>
        <w:kinsoku/>
        <w:wordWrap/>
        <w:overflowPunct/>
        <w:topLinePunct w:val="0"/>
        <w:autoSpaceDE/>
        <w:autoSpaceDN/>
        <w:bidi w:val="0"/>
        <w:adjustRightInd/>
        <w:snapToGrid/>
        <w:spacing w:line="500" w:lineRule="exact"/>
        <w:ind w:firstLine="562" w:firstLineChars="200"/>
        <w:jc w:val="left"/>
        <w:textAlignment w:val="auto"/>
        <w:rPr>
          <w:rFonts w:ascii="宋体" w:hAnsi="宋体" w:cs="宋体"/>
          <w:b/>
          <w:sz w:val="28"/>
          <w:szCs w:val="28"/>
        </w:rPr>
      </w:pPr>
      <w:r>
        <w:rPr>
          <w:rFonts w:hint="eastAsia" w:ascii="宋体" w:hAnsi="宋体" w:cs="宋体"/>
          <w:b/>
          <w:sz w:val="28"/>
          <w:szCs w:val="28"/>
        </w:rPr>
        <w:t>（一）师资队伍</w:t>
      </w:r>
    </w:p>
    <w:p>
      <w:pPr>
        <w:pageBreakBefore w:val="0"/>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为保障本方案的顺利实施，根据教育部颁布的《中等职业学校教师专业标准》和《中等职业学校设置标准》的有关规定，本专业专任教师师生比不低于1:36，至少配备中级以上专业技术职务的专任教师2人，“双师型”教师应不低于30%；应有业务水平较高的专业带头人。</w:t>
      </w:r>
    </w:p>
    <w:p>
      <w:pPr>
        <w:pageBreakBefore w:val="0"/>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专业专任教师应具备良好的师德和终身学习能力，具有专业或相应专业本科及以上学历、中等职业学校教师资格证书和本专业相关工种中级（含</w:t>
      </w:r>
      <w:r>
        <w:rPr>
          <w:rFonts w:ascii="宋体" w:hAnsi="宋体"/>
          <w:sz w:val="28"/>
          <w:szCs w:val="28"/>
        </w:rPr>
        <w:t>）</w:t>
      </w:r>
      <w:r>
        <w:rPr>
          <w:rFonts w:hint="eastAsia" w:ascii="宋体" w:hAnsi="宋体"/>
          <w:sz w:val="28"/>
          <w:szCs w:val="28"/>
        </w:rPr>
        <w:t>以上职业资格，能够适应产业、行业发展需求，熟悉企业情况，参加企业实践和技术服务，积极开展课程教学改革。</w:t>
      </w:r>
    </w:p>
    <w:p>
      <w:pPr>
        <w:pageBreakBefore w:val="0"/>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聘请</w:t>
      </w:r>
      <w:r>
        <w:rPr>
          <w:rFonts w:hint="eastAsia" w:ascii="宋体" w:hAnsi="宋体"/>
          <w:sz w:val="28"/>
          <w:szCs w:val="28"/>
          <w:lang w:val="en-US" w:eastAsia="zh-CN"/>
        </w:rPr>
        <w:t>高级</w:t>
      </w:r>
      <w:r>
        <w:rPr>
          <w:rFonts w:hint="eastAsia" w:ascii="宋体" w:hAnsi="宋体"/>
          <w:sz w:val="28"/>
          <w:szCs w:val="28"/>
        </w:rPr>
        <w:t>技能人才担任专业兼职教师，应具有高级（含）以上职业资格或中级（含）以上专业技术职称，能够参与学校授课、课外活动、讲座等教学活动。</w:t>
      </w:r>
    </w:p>
    <w:p>
      <w:pPr>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目前，数控技术应用专业拥有专业教师</w:t>
      </w:r>
      <w:r>
        <w:rPr>
          <w:rFonts w:hint="eastAsia" w:ascii="宋体" w:hAnsi="宋体" w:eastAsia="宋体" w:cs="宋体"/>
          <w:sz w:val="28"/>
          <w:szCs w:val="28"/>
          <w:lang w:val="en-US" w:eastAsia="zh-CN"/>
        </w:rPr>
        <w:t>5</w:t>
      </w:r>
      <w:r>
        <w:rPr>
          <w:rFonts w:hint="eastAsia" w:ascii="宋体" w:hAnsi="宋体" w:eastAsia="宋体" w:cs="宋体"/>
          <w:sz w:val="28"/>
          <w:szCs w:val="28"/>
        </w:rPr>
        <w:t>人，研究生学历（或硕士以上学位）</w:t>
      </w:r>
      <w:r>
        <w:rPr>
          <w:rFonts w:hint="eastAsia" w:ascii="宋体" w:hAnsi="宋体" w:eastAsia="宋体" w:cs="宋体"/>
          <w:sz w:val="28"/>
          <w:szCs w:val="28"/>
          <w:lang w:val="en-US" w:eastAsia="zh-CN"/>
        </w:rPr>
        <w:t>2</w:t>
      </w:r>
      <w:r>
        <w:rPr>
          <w:rFonts w:hint="eastAsia" w:ascii="宋体" w:hAnsi="宋体" w:eastAsia="宋体" w:cs="宋体"/>
          <w:sz w:val="28"/>
          <w:szCs w:val="28"/>
        </w:rPr>
        <w:t>人，其他均为大学学历。其中“双师型”教师</w:t>
      </w:r>
      <w:r>
        <w:rPr>
          <w:rFonts w:hint="eastAsia" w:ascii="宋体" w:hAnsi="宋体" w:eastAsia="宋体" w:cs="宋体"/>
          <w:sz w:val="28"/>
          <w:szCs w:val="28"/>
          <w:lang w:val="en-US" w:eastAsia="zh-CN"/>
        </w:rPr>
        <w:t>2</w:t>
      </w:r>
      <w:r>
        <w:rPr>
          <w:rFonts w:hint="eastAsia" w:ascii="宋体" w:hAnsi="宋体" w:eastAsia="宋体" w:cs="宋体"/>
          <w:sz w:val="28"/>
          <w:szCs w:val="28"/>
        </w:rPr>
        <w:t>人，占全体专业教师的</w:t>
      </w:r>
      <w:r>
        <w:rPr>
          <w:rFonts w:hint="eastAsia" w:ascii="宋体" w:hAnsi="宋体" w:eastAsia="宋体" w:cs="宋体"/>
          <w:sz w:val="28"/>
          <w:szCs w:val="28"/>
          <w:lang w:val="en-US" w:eastAsia="zh-CN"/>
        </w:rPr>
        <w:t>40</w:t>
      </w:r>
      <w:r>
        <w:rPr>
          <w:rFonts w:hint="eastAsia" w:ascii="宋体" w:hAnsi="宋体" w:eastAsia="宋体" w:cs="宋体"/>
          <w:sz w:val="28"/>
          <w:szCs w:val="28"/>
        </w:rPr>
        <w:t>%；国家级骨干教师2人，省级骨干教师1人，中级以上职称</w:t>
      </w:r>
      <w:r>
        <w:rPr>
          <w:rFonts w:hint="eastAsia" w:ascii="宋体" w:hAnsi="宋体" w:cs="宋体"/>
          <w:sz w:val="28"/>
          <w:szCs w:val="28"/>
          <w:lang w:val="en-US" w:eastAsia="zh-CN"/>
        </w:rPr>
        <w:t>3</w:t>
      </w:r>
      <w:r>
        <w:rPr>
          <w:rFonts w:hint="eastAsia" w:ascii="宋体" w:hAnsi="宋体" w:eastAsia="宋体" w:cs="宋体"/>
          <w:sz w:val="28"/>
          <w:szCs w:val="28"/>
        </w:rPr>
        <w:t>人，另外聘请</w:t>
      </w:r>
      <w:r>
        <w:rPr>
          <w:rFonts w:hint="eastAsia" w:ascii="宋体" w:hAnsi="宋体" w:eastAsia="宋体" w:cs="宋体"/>
          <w:sz w:val="28"/>
          <w:szCs w:val="28"/>
          <w:lang w:val="en-US" w:eastAsia="zh-CN"/>
        </w:rPr>
        <w:t>高级技师</w:t>
      </w:r>
      <w:r>
        <w:rPr>
          <w:rFonts w:hint="eastAsia" w:ascii="宋体" w:hAnsi="宋体" w:eastAsia="宋体" w:cs="宋体"/>
          <w:sz w:val="28"/>
          <w:szCs w:val="28"/>
        </w:rPr>
        <w:t>1人</w:t>
      </w:r>
      <w:r>
        <w:rPr>
          <w:rFonts w:hint="eastAsia" w:ascii="宋体" w:hAnsi="宋体" w:cs="宋体"/>
          <w:sz w:val="28"/>
          <w:szCs w:val="28"/>
          <w:lang w:eastAsia="zh-CN"/>
        </w:rPr>
        <w:t>、</w:t>
      </w:r>
      <w:r>
        <w:rPr>
          <w:rFonts w:hint="eastAsia" w:ascii="宋体" w:hAnsi="宋体" w:eastAsia="宋体" w:cs="宋体"/>
          <w:sz w:val="28"/>
          <w:szCs w:val="28"/>
        </w:rPr>
        <w:t>中级机电工程师</w:t>
      </w:r>
      <w:r>
        <w:rPr>
          <w:rFonts w:hint="eastAsia" w:ascii="宋体" w:hAnsi="宋体" w:eastAsia="宋体" w:cs="宋体"/>
          <w:sz w:val="28"/>
          <w:szCs w:val="28"/>
          <w:lang w:val="en-US" w:eastAsia="zh-CN"/>
        </w:rPr>
        <w:t>1人</w:t>
      </w:r>
      <w:r>
        <w:rPr>
          <w:rFonts w:hint="eastAsia" w:ascii="宋体" w:hAnsi="宋体" w:eastAsia="宋体" w:cs="宋体"/>
          <w:sz w:val="28"/>
          <w:szCs w:val="28"/>
        </w:rPr>
        <w:t>作为本专业的兼职教师。专业生师比</w:t>
      </w:r>
      <w:r>
        <w:rPr>
          <w:rFonts w:hint="eastAsia" w:ascii="宋体" w:hAnsi="宋体" w:eastAsia="宋体" w:cs="宋体"/>
          <w:sz w:val="28"/>
          <w:szCs w:val="28"/>
          <w:lang w:val="en-US" w:eastAsia="zh-CN"/>
        </w:rPr>
        <w:t>18.8</w:t>
      </w:r>
      <w:r>
        <w:rPr>
          <w:rFonts w:hint="eastAsia" w:ascii="宋体" w:hAnsi="宋体" w:eastAsia="宋体" w:cs="宋体"/>
          <w:sz w:val="28"/>
          <w:szCs w:val="28"/>
        </w:rPr>
        <w:t>:1。</w:t>
      </w:r>
    </w:p>
    <w:p>
      <w:pPr>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ascii="宋体" w:hAnsi="宋体" w:cs="宋体"/>
          <w:bCs/>
          <w:color w:val="000000"/>
          <w:kern w:val="0"/>
          <w:sz w:val="28"/>
          <w:szCs w:val="28"/>
        </w:rPr>
      </w:pPr>
      <w:r>
        <w:rPr>
          <w:rFonts w:hint="eastAsia" w:ascii="宋体" w:hAnsi="宋体" w:cs="宋体"/>
          <w:bCs/>
          <w:color w:val="000000"/>
          <w:kern w:val="0"/>
          <w:sz w:val="28"/>
          <w:szCs w:val="28"/>
        </w:rPr>
        <w:t>1.专任教师一览表</w:t>
      </w:r>
    </w:p>
    <w:tbl>
      <w:tblPr>
        <w:tblStyle w:val="9"/>
        <w:tblW w:w="9192" w:type="dxa"/>
        <w:jc w:val="center"/>
        <w:tblLayout w:type="fixed"/>
        <w:tblCellMar>
          <w:top w:w="0" w:type="dxa"/>
          <w:left w:w="108" w:type="dxa"/>
          <w:bottom w:w="0" w:type="dxa"/>
          <w:right w:w="108" w:type="dxa"/>
        </w:tblCellMar>
      </w:tblPr>
      <w:tblGrid>
        <w:gridCol w:w="775"/>
        <w:gridCol w:w="1050"/>
        <w:gridCol w:w="750"/>
        <w:gridCol w:w="1284"/>
        <w:gridCol w:w="1974"/>
        <w:gridCol w:w="1592"/>
        <w:gridCol w:w="1767"/>
      </w:tblGrid>
      <w:tr>
        <w:tblPrEx>
          <w:tblCellMar>
            <w:top w:w="0" w:type="dxa"/>
            <w:left w:w="108" w:type="dxa"/>
            <w:bottom w:w="0" w:type="dxa"/>
            <w:right w:w="108" w:type="dxa"/>
          </w:tblCellMar>
        </w:tblPrEx>
        <w:trPr>
          <w:trHeight w:val="480" w:hRule="atLeast"/>
          <w:jc w:val="center"/>
        </w:trPr>
        <w:tc>
          <w:tcPr>
            <w:tcW w:w="7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姓名</w:t>
            </w:r>
          </w:p>
        </w:tc>
        <w:tc>
          <w:tcPr>
            <w:tcW w:w="7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性别</w:t>
            </w:r>
          </w:p>
        </w:tc>
        <w:tc>
          <w:tcPr>
            <w:tcW w:w="12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出生年月</w:t>
            </w:r>
          </w:p>
        </w:tc>
        <w:tc>
          <w:tcPr>
            <w:tcW w:w="197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学历、学位</w:t>
            </w:r>
          </w:p>
        </w:tc>
        <w:tc>
          <w:tcPr>
            <w:tcW w:w="159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专业技术职务证书</w:t>
            </w:r>
          </w:p>
        </w:tc>
        <w:tc>
          <w:tcPr>
            <w:tcW w:w="17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技能证书</w:t>
            </w:r>
          </w:p>
        </w:tc>
      </w:tr>
      <w:tr>
        <w:tblPrEx>
          <w:tblCellMar>
            <w:top w:w="0" w:type="dxa"/>
            <w:left w:w="108" w:type="dxa"/>
            <w:bottom w:w="0" w:type="dxa"/>
            <w:right w:w="108" w:type="dxa"/>
          </w:tblCellMar>
        </w:tblPrEx>
        <w:trPr>
          <w:trHeight w:val="750" w:hRule="atLeast"/>
          <w:jc w:val="center"/>
        </w:trPr>
        <w:tc>
          <w:tcPr>
            <w:tcW w:w="77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0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谢玉阳</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男</w:t>
            </w:r>
          </w:p>
        </w:tc>
        <w:tc>
          <w:tcPr>
            <w:tcW w:w="12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196910</w:t>
            </w:r>
          </w:p>
        </w:tc>
        <w:tc>
          <w:tcPr>
            <w:tcW w:w="197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在职本科</w:t>
            </w:r>
          </w:p>
        </w:tc>
        <w:tc>
          <w:tcPr>
            <w:tcW w:w="15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高级讲师</w:t>
            </w:r>
          </w:p>
        </w:tc>
        <w:tc>
          <w:tcPr>
            <w:tcW w:w="176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r>
              <w:rPr>
                <w:rFonts w:hint="eastAsia" w:ascii="宋体" w:hAnsi="宋体" w:cs="宋体"/>
                <w:kern w:val="0"/>
                <w:sz w:val="21"/>
                <w:szCs w:val="21"/>
              </w:rPr>
              <w:t>1.数控车工</w:t>
            </w:r>
          </w:p>
          <w:p>
            <w:pPr>
              <w:widowControl/>
              <w:jc w:val="left"/>
              <w:rPr>
                <w:rFonts w:ascii="宋体" w:hAnsi="宋体" w:cs="宋体"/>
                <w:kern w:val="0"/>
                <w:sz w:val="21"/>
                <w:szCs w:val="21"/>
              </w:rPr>
            </w:pPr>
            <w:r>
              <w:rPr>
                <w:rFonts w:hint="eastAsia" w:ascii="宋体" w:hAnsi="宋体" w:cs="宋体"/>
                <w:kern w:val="0"/>
                <w:sz w:val="21"/>
                <w:szCs w:val="21"/>
              </w:rPr>
              <w:t>2.数控车工技能鉴定考评员</w:t>
            </w:r>
          </w:p>
        </w:tc>
      </w:tr>
      <w:tr>
        <w:tblPrEx>
          <w:tblCellMar>
            <w:top w:w="0" w:type="dxa"/>
            <w:left w:w="108" w:type="dxa"/>
            <w:bottom w:w="0" w:type="dxa"/>
            <w:right w:w="108" w:type="dxa"/>
          </w:tblCellMar>
        </w:tblPrEx>
        <w:trPr>
          <w:trHeight w:val="480" w:hRule="atLeast"/>
          <w:jc w:val="center"/>
        </w:trPr>
        <w:tc>
          <w:tcPr>
            <w:tcW w:w="77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0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黄雪霞</w:t>
            </w:r>
          </w:p>
        </w:tc>
        <w:tc>
          <w:tcPr>
            <w:tcW w:w="75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女</w:t>
            </w:r>
          </w:p>
        </w:tc>
        <w:tc>
          <w:tcPr>
            <w:tcW w:w="12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198611</w:t>
            </w:r>
          </w:p>
        </w:tc>
        <w:tc>
          <w:tcPr>
            <w:tcW w:w="197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本科、学士学位</w:t>
            </w:r>
          </w:p>
        </w:tc>
        <w:tc>
          <w:tcPr>
            <w:tcW w:w="15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讲师</w:t>
            </w:r>
          </w:p>
        </w:tc>
        <w:tc>
          <w:tcPr>
            <w:tcW w:w="176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jc w:val="center"/>
        </w:trPr>
        <w:tc>
          <w:tcPr>
            <w:tcW w:w="775"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3</w:t>
            </w:r>
          </w:p>
        </w:tc>
        <w:tc>
          <w:tcPr>
            <w:tcW w:w="10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苏丽英</w:t>
            </w:r>
          </w:p>
        </w:tc>
        <w:tc>
          <w:tcPr>
            <w:tcW w:w="7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女</w:t>
            </w:r>
          </w:p>
        </w:tc>
        <w:tc>
          <w:tcPr>
            <w:tcW w:w="12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198610</w:t>
            </w:r>
          </w:p>
        </w:tc>
        <w:tc>
          <w:tcPr>
            <w:tcW w:w="197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研究生、硕士学位</w:t>
            </w:r>
          </w:p>
        </w:tc>
        <w:tc>
          <w:tcPr>
            <w:tcW w:w="15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讲师</w:t>
            </w:r>
          </w:p>
        </w:tc>
        <w:tc>
          <w:tcPr>
            <w:tcW w:w="17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　</w:t>
            </w:r>
          </w:p>
        </w:tc>
      </w:tr>
    </w:tbl>
    <w:p>
      <w:pPr>
        <w:widowControl/>
        <w:spacing w:line="500" w:lineRule="exact"/>
        <w:ind w:firstLine="560" w:firstLineChars="200"/>
        <w:jc w:val="left"/>
        <w:rPr>
          <w:rFonts w:ascii="宋体" w:hAnsi="宋体" w:cs="宋体"/>
          <w:bCs/>
          <w:color w:val="000000"/>
          <w:kern w:val="0"/>
          <w:sz w:val="28"/>
          <w:szCs w:val="28"/>
        </w:rPr>
      </w:pPr>
      <w:r>
        <w:rPr>
          <w:rFonts w:hint="eastAsia" w:ascii="宋体" w:hAnsi="宋体" w:cs="宋体"/>
          <w:bCs/>
          <w:color w:val="000000"/>
          <w:kern w:val="0"/>
          <w:sz w:val="28"/>
          <w:szCs w:val="28"/>
        </w:rPr>
        <w:t>2.兼职教师一览表</w:t>
      </w:r>
    </w:p>
    <w:tbl>
      <w:tblPr>
        <w:tblStyle w:val="9"/>
        <w:tblW w:w="9259" w:type="dxa"/>
        <w:jc w:val="center"/>
        <w:tblLayout w:type="fixed"/>
        <w:tblCellMar>
          <w:top w:w="0" w:type="dxa"/>
          <w:left w:w="108" w:type="dxa"/>
          <w:bottom w:w="0" w:type="dxa"/>
          <w:right w:w="108" w:type="dxa"/>
        </w:tblCellMar>
      </w:tblPr>
      <w:tblGrid>
        <w:gridCol w:w="833"/>
        <w:gridCol w:w="1033"/>
        <w:gridCol w:w="733"/>
        <w:gridCol w:w="1284"/>
        <w:gridCol w:w="2150"/>
        <w:gridCol w:w="1433"/>
        <w:gridCol w:w="1793"/>
      </w:tblGrid>
      <w:tr>
        <w:tblPrEx>
          <w:tblCellMar>
            <w:top w:w="0" w:type="dxa"/>
            <w:left w:w="108" w:type="dxa"/>
            <w:bottom w:w="0" w:type="dxa"/>
            <w:right w:w="108" w:type="dxa"/>
          </w:tblCellMar>
        </w:tblPrEx>
        <w:trPr>
          <w:trHeight w:val="48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序号</w:t>
            </w:r>
          </w:p>
        </w:tc>
        <w:tc>
          <w:tcPr>
            <w:tcW w:w="103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姓名</w:t>
            </w:r>
          </w:p>
        </w:tc>
        <w:tc>
          <w:tcPr>
            <w:tcW w:w="73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性别</w:t>
            </w:r>
          </w:p>
        </w:tc>
        <w:tc>
          <w:tcPr>
            <w:tcW w:w="12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出生年月</w:t>
            </w:r>
          </w:p>
        </w:tc>
        <w:tc>
          <w:tcPr>
            <w:tcW w:w="21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学历、学位</w:t>
            </w:r>
          </w:p>
        </w:tc>
        <w:tc>
          <w:tcPr>
            <w:tcW w:w="143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专业技术职务证书</w:t>
            </w:r>
          </w:p>
        </w:tc>
        <w:tc>
          <w:tcPr>
            <w:tcW w:w="17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技能证书</w:t>
            </w:r>
          </w:p>
        </w:tc>
      </w:tr>
      <w:tr>
        <w:tblPrEx>
          <w:tblCellMar>
            <w:top w:w="0" w:type="dxa"/>
            <w:left w:w="108" w:type="dxa"/>
            <w:bottom w:w="0" w:type="dxa"/>
            <w:right w:w="108" w:type="dxa"/>
          </w:tblCellMar>
        </w:tblPrEx>
        <w:trPr>
          <w:trHeight w:val="750" w:hRule="atLeast"/>
          <w:jc w:val="center"/>
        </w:trPr>
        <w:tc>
          <w:tcPr>
            <w:tcW w:w="833" w:type="dxa"/>
            <w:tcBorders>
              <w:top w:val="nil"/>
              <w:left w:val="single" w:color="auto" w:sz="4" w:space="0"/>
              <w:bottom w:val="nil"/>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033" w:type="dxa"/>
            <w:tcBorders>
              <w:top w:val="nil"/>
              <w:left w:val="nil"/>
              <w:bottom w:val="nil"/>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陈威</w:t>
            </w:r>
          </w:p>
        </w:tc>
        <w:tc>
          <w:tcPr>
            <w:tcW w:w="733" w:type="dxa"/>
            <w:tcBorders>
              <w:top w:val="nil"/>
              <w:left w:val="nil"/>
              <w:bottom w:val="nil"/>
              <w:right w:val="single" w:color="auto" w:sz="4" w:space="0"/>
            </w:tcBorders>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男</w:t>
            </w:r>
          </w:p>
        </w:tc>
        <w:tc>
          <w:tcPr>
            <w:tcW w:w="1284" w:type="dxa"/>
            <w:tcBorders>
              <w:top w:val="nil"/>
              <w:left w:val="nil"/>
              <w:bottom w:val="nil"/>
              <w:right w:val="single" w:color="auto" w:sz="4" w:space="0"/>
            </w:tcBorders>
            <w:noWrap/>
            <w:vAlign w:val="center"/>
          </w:tcPr>
          <w:p>
            <w:pPr>
              <w:widowControl/>
              <w:jc w:val="center"/>
              <w:rPr>
                <w:rFonts w:ascii="宋体" w:hAnsi="宋体" w:cs="宋体"/>
                <w:kern w:val="0"/>
                <w:sz w:val="21"/>
                <w:szCs w:val="21"/>
              </w:rPr>
            </w:pPr>
            <w:r>
              <w:rPr>
                <w:rFonts w:hint="eastAsia" w:ascii="宋体" w:hAnsi="宋体" w:cs="宋体"/>
                <w:kern w:val="0"/>
                <w:sz w:val="21"/>
                <w:szCs w:val="21"/>
              </w:rPr>
              <w:t>197904</w:t>
            </w:r>
          </w:p>
        </w:tc>
        <w:tc>
          <w:tcPr>
            <w:tcW w:w="2150" w:type="dxa"/>
            <w:tcBorders>
              <w:top w:val="nil"/>
              <w:left w:val="nil"/>
              <w:bottom w:val="nil"/>
              <w:right w:val="single" w:color="auto" w:sz="4" w:space="0"/>
            </w:tcBorders>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rPr>
              <w:t>本科、学士学位</w:t>
            </w:r>
          </w:p>
        </w:tc>
        <w:tc>
          <w:tcPr>
            <w:tcW w:w="1433" w:type="dxa"/>
            <w:tcBorders>
              <w:top w:val="nil"/>
              <w:left w:val="nil"/>
              <w:bottom w:val="nil"/>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实验师</w:t>
            </w:r>
          </w:p>
        </w:tc>
        <w:tc>
          <w:tcPr>
            <w:tcW w:w="1793" w:type="dxa"/>
            <w:tcBorders>
              <w:top w:val="nil"/>
              <w:left w:val="nil"/>
              <w:bottom w:val="nil"/>
              <w:right w:val="single" w:color="auto" w:sz="4" w:space="0"/>
            </w:tcBorders>
            <w:noWrap w:val="0"/>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高级技师</w:t>
            </w:r>
          </w:p>
        </w:tc>
      </w:tr>
      <w:tr>
        <w:tblPrEx>
          <w:tblCellMar>
            <w:top w:w="0" w:type="dxa"/>
            <w:left w:w="108" w:type="dxa"/>
            <w:bottom w:w="0" w:type="dxa"/>
            <w:right w:w="108" w:type="dxa"/>
          </w:tblCellMar>
        </w:tblPrEx>
        <w:trPr>
          <w:trHeight w:val="750" w:hRule="atLeast"/>
          <w:jc w:val="center"/>
        </w:trPr>
        <w:tc>
          <w:tcPr>
            <w:tcW w:w="83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0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姚华忠</w:t>
            </w:r>
          </w:p>
        </w:tc>
        <w:tc>
          <w:tcPr>
            <w:tcW w:w="7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男</w:t>
            </w:r>
          </w:p>
        </w:tc>
        <w:tc>
          <w:tcPr>
            <w:tcW w:w="12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199006</w:t>
            </w:r>
          </w:p>
        </w:tc>
        <w:tc>
          <w:tcPr>
            <w:tcW w:w="21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研究生、硕士学位</w:t>
            </w:r>
          </w:p>
        </w:tc>
        <w:tc>
          <w:tcPr>
            <w:tcW w:w="143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中级机电工程师</w:t>
            </w:r>
          </w:p>
        </w:tc>
        <w:tc>
          <w:tcPr>
            <w:tcW w:w="179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bidi="ar-SA"/>
              </w:rPr>
            </w:pPr>
          </w:p>
        </w:tc>
      </w:tr>
    </w:tbl>
    <w:p>
      <w:pPr>
        <w:jc w:val="left"/>
        <w:rPr>
          <w:rFonts w:ascii="黑体" w:hAnsi="黑体" w:eastAsia="黑体"/>
          <w:b/>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ascii="宋体" w:hAnsi="宋体" w:cs="宋体"/>
          <w:b/>
          <w:sz w:val="28"/>
          <w:szCs w:val="28"/>
        </w:rPr>
      </w:pPr>
      <w:r>
        <w:rPr>
          <w:rFonts w:hint="eastAsia" w:ascii="宋体" w:hAnsi="宋体" w:cs="宋体"/>
          <w:b/>
          <w:sz w:val="28"/>
          <w:szCs w:val="28"/>
        </w:rPr>
        <w:t>（二）教学设施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本专业配备有校内实训室和校外实习实训基地。</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sz w:val="28"/>
          <w:szCs w:val="28"/>
        </w:rPr>
      </w:pPr>
      <w:r>
        <w:rPr>
          <w:rFonts w:hint="eastAsia" w:ascii="宋体" w:hAnsi="宋体" w:cs="宋体"/>
          <w:sz w:val="28"/>
          <w:szCs w:val="28"/>
        </w:rPr>
        <w:t>校内实训室</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olor w:val="000000"/>
          <w:sz w:val="28"/>
          <w:szCs w:val="28"/>
        </w:rPr>
      </w:pPr>
      <w:r>
        <w:drawing>
          <wp:inline distT="0" distB="0" distL="114300" distR="114300">
            <wp:extent cx="5271135" cy="4794885"/>
            <wp:effectExtent l="0" t="0" r="190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71135" cy="4794885"/>
                    </a:xfrm>
                    <a:prstGeom prst="rect">
                      <a:avLst/>
                    </a:prstGeom>
                    <a:noFill/>
                    <a:ln>
                      <a:noFill/>
                    </a:ln>
                  </pic:spPr>
                </pic:pic>
              </a:graphicData>
            </a:graphic>
          </wp:inline>
        </w:drawing>
      </w:r>
    </w:p>
    <w:p>
      <w:pPr>
        <w:widowControl/>
        <w:spacing w:line="500" w:lineRule="exact"/>
        <w:ind w:firstLine="560" w:firstLineChars="200"/>
        <w:jc w:val="left"/>
        <w:rPr>
          <w:rFonts w:ascii="宋体" w:hAnsi="宋体"/>
          <w:color w:val="000000"/>
          <w:sz w:val="28"/>
          <w:szCs w:val="28"/>
        </w:rPr>
      </w:pPr>
      <w:r>
        <w:rPr>
          <w:rFonts w:hint="eastAsia" w:ascii="宋体" w:hAnsi="宋体"/>
          <w:color w:val="000000"/>
          <w:sz w:val="28"/>
          <w:szCs w:val="28"/>
        </w:rPr>
        <w:t>主要设施设备及数量见下表：</w:t>
      </w:r>
    </w:p>
    <w:tbl>
      <w:tblPr>
        <w:tblStyle w:val="9"/>
        <w:tblpPr w:leftFromText="180" w:rightFromText="180" w:vertAnchor="text" w:horzAnchor="page" w:tblpXSpec="center" w:tblpY="469"/>
        <w:tblOverlap w:val="never"/>
        <w:tblW w:w="8912" w:type="dxa"/>
        <w:tblInd w:w="-242" w:type="dxa"/>
        <w:tblLayout w:type="fixed"/>
        <w:tblCellMar>
          <w:top w:w="0" w:type="dxa"/>
          <w:left w:w="108" w:type="dxa"/>
          <w:bottom w:w="0" w:type="dxa"/>
          <w:right w:w="108" w:type="dxa"/>
        </w:tblCellMar>
      </w:tblPr>
      <w:tblGrid>
        <w:gridCol w:w="917"/>
        <w:gridCol w:w="1134"/>
        <w:gridCol w:w="709"/>
        <w:gridCol w:w="1410"/>
        <w:gridCol w:w="2559"/>
        <w:gridCol w:w="709"/>
        <w:gridCol w:w="709"/>
        <w:gridCol w:w="765"/>
      </w:tblGrid>
      <w:tr>
        <w:tblPrEx>
          <w:tblCellMar>
            <w:top w:w="0" w:type="dxa"/>
            <w:left w:w="108" w:type="dxa"/>
            <w:bottom w:w="0" w:type="dxa"/>
            <w:right w:w="108" w:type="dxa"/>
          </w:tblCellMar>
        </w:tblPrEx>
        <w:trPr>
          <w:trHeight w:val="624" w:hRule="atLeast"/>
        </w:trPr>
        <w:tc>
          <w:tcPr>
            <w:tcW w:w="2051" w:type="dxa"/>
            <w:gridSpan w:val="2"/>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b/>
                <w:bCs/>
                <w:color w:val="171717"/>
                <w:kern w:val="0"/>
                <w:szCs w:val="21"/>
              </w:rPr>
            </w:pPr>
            <w:r>
              <w:rPr>
                <w:rFonts w:hint="eastAsia" w:ascii="宋体" w:hAnsi="宋体" w:cs="宋体"/>
                <w:b/>
                <w:bCs/>
                <w:color w:val="171717"/>
                <w:kern w:val="0"/>
                <w:szCs w:val="21"/>
              </w:rPr>
              <w:t>实训教学场所</w:t>
            </w:r>
          </w:p>
        </w:tc>
        <w:tc>
          <w:tcPr>
            <w:tcW w:w="6861" w:type="dxa"/>
            <w:gridSpan w:val="6"/>
            <w:tcBorders>
              <w:top w:val="single" w:color="auto" w:sz="4" w:space="0"/>
              <w:left w:val="nil"/>
              <w:bottom w:val="single" w:color="000000" w:sz="4" w:space="0"/>
              <w:right w:val="single" w:color="auto" w:sz="4" w:space="0"/>
            </w:tcBorders>
            <w:noWrap w:val="0"/>
            <w:vAlign w:val="center"/>
          </w:tcPr>
          <w:p>
            <w:pPr>
              <w:widowControl/>
              <w:jc w:val="center"/>
              <w:rPr>
                <w:rFonts w:ascii="宋体" w:hAnsi="宋体" w:cs="宋体"/>
                <w:b/>
                <w:bCs/>
                <w:color w:val="171717"/>
                <w:kern w:val="0"/>
                <w:szCs w:val="21"/>
              </w:rPr>
            </w:pPr>
            <w:r>
              <w:rPr>
                <w:rFonts w:hint="eastAsia" w:ascii="宋体" w:hAnsi="宋体" w:cs="宋体"/>
                <w:b/>
                <w:bCs/>
                <w:color w:val="171717"/>
                <w:kern w:val="0"/>
                <w:szCs w:val="21"/>
              </w:rPr>
              <w:t>仪器设备</w:t>
            </w:r>
          </w:p>
        </w:tc>
      </w:tr>
      <w:tr>
        <w:tblPrEx>
          <w:tblCellMar>
            <w:top w:w="0" w:type="dxa"/>
            <w:left w:w="108" w:type="dxa"/>
            <w:bottom w:w="0" w:type="dxa"/>
            <w:right w:w="108" w:type="dxa"/>
          </w:tblCellMar>
        </w:tblPrEx>
        <w:trPr>
          <w:trHeight w:val="624" w:hRule="atLeast"/>
        </w:trPr>
        <w:tc>
          <w:tcPr>
            <w:tcW w:w="917"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序号</w:t>
            </w:r>
          </w:p>
        </w:tc>
        <w:tc>
          <w:tcPr>
            <w:tcW w:w="113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名称</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序号</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名称</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规格、主要参数或主要要求</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单位</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数量</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备注</w:t>
            </w:r>
          </w:p>
        </w:tc>
      </w:tr>
      <w:tr>
        <w:tblPrEx>
          <w:tblCellMar>
            <w:top w:w="0" w:type="dxa"/>
            <w:left w:w="108" w:type="dxa"/>
            <w:bottom w:w="0" w:type="dxa"/>
            <w:right w:w="108" w:type="dxa"/>
          </w:tblCellMar>
        </w:tblPrEx>
        <w:trPr>
          <w:trHeight w:val="624" w:hRule="atLeast"/>
        </w:trPr>
        <w:tc>
          <w:tcPr>
            <w:tcW w:w="917" w:type="dxa"/>
            <w:vMerge w:val="restart"/>
            <w:tcBorders>
              <w:top w:val="nil"/>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w:t>
            </w: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钳工实训室</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钳工工作台</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配台虎钳</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工位</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50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continue"/>
            <w:tcBorders>
              <w:top w:val="nil"/>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2</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台式钻床</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最大钻孔直径≥12mm</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台</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continue"/>
            <w:tcBorders>
              <w:top w:val="nil"/>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3</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划线平板</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≥300mm×400mm</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块</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continue"/>
            <w:tcBorders>
              <w:top w:val="nil"/>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4</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划线方箱</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≥200mm×200mm×200mm</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个</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continue"/>
            <w:tcBorders>
              <w:top w:val="nil"/>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709"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5</w:t>
            </w:r>
          </w:p>
        </w:tc>
        <w:tc>
          <w:tcPr>
            <w:tcW w:w="141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配套辅具、工具、量具</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台式钻床用平口钳</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个</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continue"/>
            <w:tcBorders>
              <w:top w:val="nil"/>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709"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410"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划线用工具</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套</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continue"/>
            <w:tcBorders>
              <w:top w:val="nil"/>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709"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410"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万能分度头</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个</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continue"/>
            <w:tcBorders>
              <w:top w:val="nil"/>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709"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410"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钳工工具</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套</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25</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continue"/>
            <w:tcBorders>
              <w:top w:val="nil"/>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709"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410"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量具(高度尺等量具)</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套</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50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restart"/>
            <w:tcBorders>
              <w:top w:val="nil"/>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2</w:t>
            </w:r>
          </w:p>
        </w:tc>
        <w:tc>
          <w:tcPr>
            <w:tcW w:w="1134"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机械加工车间</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6</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普通车床</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最大回转直径≥320 mm</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台</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3</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continue"/>
            <w:tcBorders>
              <w:top w:val="nil"/>
              <w:left w:val="single" w:color="auto" w:sz="4" w:space="0"/>
              <w:bottom w:val="single" w:color="auto"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vMerge w:val="continue"/>
            <w:tcBorders>
              <w:top w:val="nil"/>
              <w:left w:val="nil"/>
              <w:bottom w:val="single" w:color="auto" w:sz="4" w:space="0"/>
              <w:right w:val="single" w:color="000000" w:sz="4" w:space="0"/>
            </w:tcBorders>
            <w:noWrap w:val="0"/>
            <w:vAlign w:val="center"/>
          </w:tcPr>
          <w:p>
            <w:pPr>
              <w:widowControl/>
              <w:jc w:val="center"/>
              <w:rPr>
                <w:rFonts w:ascii="宋体" w:hAnsi="宋体" w:cs="宋体"/>
                <w:color w:val="171717"/>
                <w:kern w:val="0"/>
                <w:szCs w:val="21"/>
              </w:rPr>
            </w:pP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7</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辅具、刀具、量具</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适应实训需要</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套</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3</w:t>
            </w:r>
          </w:p>
        </w:tc>
        <w:tc>
          <w:tcPr>
            <w:tcW w:w="1134" w:type="dxa"/>
            <w:vMerge w:val="restart"/>
            <w:tcBorders>
              <w:top w:val="single" w:color="auto" w:sz="4" w:space="0"/>
              <w:left w:val="nil"/>
              <w:bottom w:val="single" w:color="000000" w:sz="4" w:space="0"/>
              <w:right w:val="single" w:color="000000" w:sz="4" w:space="0"/>
            </w:tcBorders>
            <w:noWrap w:val="0"/>
            <w:vAlign w:val="center"/>
          </w:tcPr>
          <w:p>
            <w:pPr>
              <w:jc w:val="center"/>
              <w:rPr>
                <w:rFonts w:ascii="宋体" w:hAnsi="宋体" w:cs="宋体"/>
                <w:color w:val="171717"/>
                <w:kern w:val="0"/>
                <w:szCs w:val="21"/>
              </w:rPr>
            </w:pPr>
            <w:r>
              <w:rPr>
                <w:rFonts w:hint="eastAsia" w:ascii="宋体" w:hAnsi="宋体" w:cs="宋体"/>
                <w:color w:val="171717"/>
                <w:kern w:val="0"/>
                <w:szCs w:val="21"/>
                <w:lang w:eastAsia="zh-CN"/>
              </w:rPr>
              <w:t>CAD</w:t>
            </w:r>
            <w:r>
              <w:rPr>
                <w:rFonts w:hint="eastAsia" w:ascii="宋体" w:hAnsi="宋体" w:cs="宋体"/>
                <w:color w:val="171717"/>
                <w:kern w:val="0"/>
                <w:szCs w:val="21"/>
              </w:rPr>
              <w:t>实训室</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8</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计算机</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能运行 CAD软件（近3年内版本）</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台</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50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continue"/>
            <w:tcBorders>
              <w:top w:val="nil"/>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vMerge w:val="continue"/>
            <w:tcBorders>
              <w:top w:val="nil"/>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9</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Auto-CAD 软件</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企业常用软件（近3年内版本）</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节点</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50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restart"/>
            <w:tcBorders>
              <w:top w:val="nil"/>
              <w:left w:val="single" w:color="auto" w:sz="4" w:space="0"/>
              <w:right w:val="single" w:color="000000"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4</w:t>
            </w:r>
          </w:p>
        </w:tc>
        <w:tc>
          <w:tcPr>
            <w:tcW w:w="1134" w:type="dxa"/>
            <w:vMerge w:val="restart"/>
            <w:tcBorders>
              <w:top w:val="nil"/>
              <w:left w:val="nil"/>
              <w:right w:val="single" w:color="000000" w:sz="4" w:space="0"/>
            </w:tcBorders>
            <w:noWrap w:val="0"/>
            <w:vAlign w:val="center"/>
          </w:tcPr>
          <w:p>
            <w:pPr>
              <w:widowControl/>
              <w:jc w:val="center"/>
              <w:rPr>
                <w:rFonts w:ascii="宋体" w:hAnsi="宋体" w:cs="宋体"/>
                <w:bCs/>
                <w:kern w:val="0"/>
                <w:szCs w:val="21"/>
              </w:rPr>
            </w:pPr>
            <w:r>
              <w:rPr>
                <w:rFonts w:ascii="宋体" w:hAnsi="宋体" w:cs="宋体"/>
                <w:bCs/>
                <w:kern w:val="0"/>
                <w:szCs w:val="21"/>
              </w:rPr>
              <w:t>CA</w:t>
            </w:r>
            <w:r>
              <w:rPr>
                <w:rFonts w:hint="eastAsia" w:ascii="宋体" w:hAnsi="宋体" w:cs="宋体"/>
                <w:bCs/>
                <w:kern w:val="0"/>
                <w:szCs w:val="21"/>
              </w:rPr>
              <w:t>D/CAM实训室</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10</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计算机</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能运行CAD/CAM软件（近3年内版本）</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台</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50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bCs/>
                <w:kern w:val="0"/>
                <w:szCs w:val="21"/>
              </w:rPr>
            </w:pPr>
          </w:p>
        </w:tc>
      </w:tr>
      <w:tr>
        <w:tblPrEx>
          <w:tblCellMar>
            <w:top w:w="0" w:type="dxa"/>
            <w:left w:w="108" w:type="dxa"/>
            <w:bottom w:w="0" w:type="dxa"/>
            <w:right w:w="108" w:type="dxa"/>
          </w:tblCellMar>
        </w:tblPrEx>
        <w:trPr>
          <w:trHeight w:val="624" w:hRule="atLeast"/>
        </w:trPr>
        <w:tc>
          <w:tcPr>
            <w:tcW w:w="917" w:type="dxa"/>
            <w:vMerge w:val="continue"/>
            <w:tcBorders>
              <w:left w:val="single" w:color="auto" w:sz="4" w:space="0"/>
              <w:right w:val="single" w:color="000000" w:sz="4" w:space="0"/>
            </w:tcBorders>
            <w:noWrap w:val="0"/>
            <w:vAlign w:val="center"/>
          </w:tcPr>
          <w:p>
            <w:pPr>
              <w:jc w:val="center"/>
              <w:rPr>
                <w:rFonts w:ascii="宋体" w:hAnsi="宋体" w:cs="宋体"/>
                <w:bCs/>
                <w:kern w:val="0"/>
                <w:szCs w:val="21"/>
              </w:rPr>
            </w:pPr>
          </w:p>
        </w:tc>
        <w:tc>
          <w:tcPr>
            <w:tcW w:w="1134" w:type="dxa"/>
            <w:vMerge w:val="continue"/>
            <w:tcBorders>
              <w:left w:val="nil"/>
              <w:right w:val="single" w:color="000000" w:sz="4" w:space="0"/>
            </w:tcBorders>
            <w:noWrap w:val="0"/>
            <w:vAlign w:val="center"/>
          </w:tcPr>
          <w:p>
            <w:pPr>
              <w:widowControl/>
              <w:jc w:val="center"/>
              <w:rPr>
                <w:rFonts w:ascii="宋体" w:hAnsi="宋体" w:cs="宋体"/>
                <w:bCs/>
                <w:kern w:val="0"/>
                <w:szCs w:val="21"/>
              </w:rPr>
            </w:pP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11</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CAD/CAM软件</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Cs/>
                <w:kern w:val="0"/>
                <w:szCs w:val="21"/>
              </w:rPr>
            </w:pPr>
            <w:r>
              <w:rPr>
                <w:rFonts w:hint="eastAsia" w:ascii="宋体" w:hAnsi="宋体" w:cs="宋体"/>
                <w:kern w:val="0"/>
                <w:szCs w:val="21"/>
              </w:rPr>
              <w:t>企业常用软件</w:t>
            </w:r>
            <w:r>
              <w:rPr>
                <w:rFonts w:hint="eastAsia" w:ascii="宋体" w:hAnsi="宋体" w:cs="宋体"/>
                <w:bCs/>
                <w:kern w:val="0"/>
                <w:szCs w:val="21"/>
              </w:rPr>
              <w:t>（近3年内版本）</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节点</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bCs/>
                <w:kern w:val="0"/>
                <w:szCs w:val="21"/>
              </w:rPr>
            </w:pPr>
            <w:r>
              <w:rPr>
                <w:rFonts w:hint="eastAsia" w:ascii="宋体" w:hAnsi="宋体" w:cs="宋体"/>
                <w:bCs/>
                <w:kern w:val="0"/>
                <w:szCs w:val="21"/>
              </w:rPr>
              <w:t>50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bCs/>
                <w:kern w:val="0"/>
                <w:szCs w:val="21"/>
              </w:rPr>
            </w:pPr>
          </w:p>
        </w:tc>
      </w:tr>
      <w:tr>
        <w:tblPrEx>
          <w:tblCellMar>
            <w:top w:w="0" w:type="dxa"/>
            <w:left w:w="108" w:type="dxa"/>
            <w:bottom w:w="0" w:type="dxa"/>
            <w:right w:w="108" w:type="dxa"/>
          </w:tblCellMar>
        </w:tblPrEx>
        <w:trPr>
          <w:trHeight w:val="624" w:hRule="atLeast"/>
        </w:trPr>
        <w:tc>
          <w:tcPr>
            <w:tcW w:w="917" w:type="dxa"/>
            <w:vMerge w:val="restart"/>
            <w:tcBorders>
              <w:top w:val="single" w:color="auto" w:sz="4" w:space="0"/>
              <w:left w:val="single" w:color="auto" w:sz="4" w:space="0"/>
              <w:right w:val="single" w:color="000000" w:sz="4" w:space="0"/>
            </w:tcBorders>
            <w:noWrap w:val="0"/>
            <w:vAlign w:val="center"/>
          </w:tcPr>
          <w:p>
            <w:pPr>
              <w:jc w:val="center"/>
              <w:rPr>
                <w:rFonts w:ascii="宋体" w:hAnsi="宋体" w:cs="宋体"/>
                <w:color w:val="171717"/>
                <w:kern w:val="0"/>
                <w:szCs w:val="21"/>
              </w:rPr>
            </w:pPr>
            <w:r>
              <w:rPr>
                <w:rFonts w:hint="eastAsia" w:ascii="宋体" w:hAnsi="宋体" w:cs="宋体"/>
                <w:color w:val="171717"/>
                <w:kern w:val="0"/>
                <w:szCs w:val="21"/>
              </w:rPr>
              <w:t>5</w:t>
            </w:r>
          </w:p>
        </w:tc>
        <w:tc>
          <w:tcPr>
            <w:tcW w:w="1134" w:type="dxa"/>
            <w:vMerge w:val="restart"/>
            <w:tcBorders>
              <w:top w:val="single" w:color="auto" w:sz="4" w:space="0"/>
              <w:left w:val="nil"/>
              <w:right w:val="single" w:color="000000" w:sz="4" w:space="0"/>
            </w:tcBorders>
            <w:noWrap w:val="0"/>
            <w:vAlign w:val="center"/>
          </w:tcPr>
          <w:p>
            <w:pPr>
              <w:jc w:val="center"/>
              <w:rPr>
                <w:rFonts w:ascii="宋体" w:hAnsi="宋体" w:cs="宋体"/>
                <w:color w:val="171717"/>
                <w:kern w:val="0"/>
                <w:szCs w:val="21"/>
              </w:rPr>
            </w:pPr>
            <w:r>
              <w:rPr>
                <w:rFonts w:hint="eastAsia" w:ascii="宋体" w:hAnsi="宋体" w:cs="宋体"/>
                <w:color w:val="171717"/>
                <w:kern w:val="0"/>
                <w:szCs w:val="21"/>
              </w:rPr>
              <w:t>数控仿真实训室</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12</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计算机</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能运行仿真软件（近3年内版本）</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台</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50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continue"/>
            <w:tcBorders>
              <w:left w:val="single" w:color="auto" w:sz="4" w:space="0"/>
              <w:right w:val="single" w:color="000000" w:sz="4" w:space="0"/>
            </w:tcBorders>
            <w:noWrap w:val="0"/>
            <w:vAlign w:val="center"/>
          </w:tcPr>
          <w:p>
            <w:pPr>
              <w:jc w:val="center"/>
              <w:rPr>
                <w:rFonts w:ascii="宋体" w:hAnsi="宋体" w:cs="宋体"/>
                <w:color w:val="171717"/>
                <w:kern w:val="0"/>
                <w:szCs w:val="21"/>
              </w:rPr>
            </w:pPr>
          </w:p>
        </w:tc>
        <w:tc>
          <w:tcPr>
            <w:tcW w:w="1134" w:type="dxa"/>
            <w:vMerge w:val="continue"/>
            <w:tcBorders>
              <w:left w:val="nil"/>
              <w:right w:val="single" w:color="000000" w:sz="4" w:space="0"/>
            </w:tcBorders>
            <w:noWrap w:val="0"/>
            <w:vAlign w:val="center"/>
          </w:tcPr>
          <w:p>
            <w:pPr>
              <w:jc w:val="center"/>
              <w:rPr>
                <w:rFonts w:ascii="宋体" w:hAnsi="宋体" w:cs="宋体"/>
                <w:color w:val="171717"/>
                <w:kern w:val="0"/>
                <w:szCs w:val="21"/>
              </w:rPr>
            </w:pP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13</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数控加工仿真软件</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企业常用软件（近3年内版本）</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节点</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50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restart"/>
            <w:tcBorders>
              <w:top w:val="single" w:color="auto" w:sz="4" w:space="0"/>
              <w:left w:val="single" w:color="auto" w:sz="4" w:space="0"/>
              <w:right w:val="single" w:color="000000" w:sz="4" w:space="0"/>
            </w:tcBorders>
            <w:noWrap w:val="0"/>
            <w:vAlign w:val="center"/>
          </w:tcPr>
          <w:p>
            <w:pPr>
              <w:jc w:val="center"/>
              <w:rPr>
                <w:rFonts w:ascii="宋体" w:hAnsi="宋体" w:cs="宋体"/>
                <w:color w:val="171717"/>
                <w:kern w:val="0"/>
                <w:szCs w:val="21"/>
              </w:rPr>
            </w:pPr>
            <w:r>
              <w:rPr>
                <w:rFonts w:hint="eastAsia" w:ascii="宋体" w:hAnsi="宋体" w:cs="宋体"/>
                <w:color w:val="171717"/>
                <w:kern w:val="0"/>
                <w:szCs w:val="21"/>
              </w:rPr>
              <w:t>6</w:t>
            </w:r>
          </w:p>
        </w:tc>
        <w:tc>
          <w:tcPr>
            <w:tcW w:w="1134" w:type="dxa"/>
            <w:vMerge w:val="restart"/>
            <w:tcBorders>
              <w:top w:val="single" w:color="auto" w:sz="4" w:space="0"/>
              <w:left w:val="nil"/>
              <w:right w:val="single" w:color="000000" w:sz="4" w:space="0"/>
            </w:tcBorders>
            <w:noWrap w:val="0"/>
            <w:vAlign w:val="center"/>
          </w:tcPr>
          <w:p>
            <w:pPr>
              <w:jc w:val="center"/>
              <w:rPr>
                <w:rFonts w:ascii="宋体" w:hAnsi="宋体" w:cs="宋体"/>
                <w:color w:val="171717"/>
                <w:kern w:val="0"/>
                <w:szCs w:val="21"/>
              </w:rPr>
            </w:pPr>
            <w:r>
              <w:rPr>
                <w:rFonts w:hint="eastAsia" w:ascii="宋体" w:hAnsi="宋体" w:cs="宋体"/>
                <w:color w:val="171717"/>
                <w:kern w:val="0"/>
                <w:szCs w:val="21"/>
              </w:rPr>
              <w:t>数控加工车间</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14</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数控车床</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最大回转直径≥400mm</w:t>
            </w:r>
          </w:p>
          <w:p>
            <w:pPr>
              <w:widowControl/>
              <w:jc w:val="center"/>
              <w:rPr>
                <w:rFonts w:ascii="宋体" w:hAnsi="宋体" w:cs="宋体"/>
                <w:color w:val="171717"/>
                <w:kern w:val="0"/>
                <w:szCs w:val="21"/>
              </w:rPr>
            </w:pPr>
            <w:r>
              <w:rPr>
                <w:rFonts w:hint="eastAsia" w:ascii="宋体" w:hAnsi="宋体" w:cs="宋体"/>
                <w:color w:val="171717"/>
                <w:kern w:val="0"/>
                <w:szCs w:val="21"/>
              </w:rPr>
              <w:t>最小设定单位：0.001mm</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台</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3</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vMerge w:val="continue"/>
            <w:tcBorders>
              <w:left w:val="single" w:color="auto"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vMerge w:val="continue"/>
            <w:tcBorders>
              <w:left w:val="nil"/>
              <w:bottom w:val="single" w:color="000000" w:sz="4" w:space="0"/>
              <w:right w:val="single" w:color="000000" w:sz="4" w:space="0"/>
            </w:tcBorders>
            <w:noWrap w:val="0"/>
            <w:vAlign w:val="center"/>
          </w:tcPr>
          <w:p>
            <w:pPr>
              <w:widowControl/>
              <w:jc w:val="left"/>
              <w:rPr>
                <w:rFonts w:ascii="宋体" w:hAnsi="宋体" w:cs="宋体"/>
                <w:color w:val="171717"/>
                <w:kern w:val="0"/>
                <w:szCs w:val="21"/>
              </w:rPr>
            </w:pP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15</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加工中心</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有效行程 ≥600×400×540mm刀库容量≥16最小设定单位：0.001mm</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台</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r>
              <w:rPr>
                <w:rFonts w:hint="eastAsia" w:ascii="宋体" w:hAnsi="宋体" w:cs="宋体"/>
                <w:color w:val="171717"/>
                <w:kern w:val="0"/>
                <w:szCs w:val="21"/>
              </w:rPr>
              <w:t>1</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171717"/>
                <w:kern w:val="0"/>
                <w:szCs w:val="21"/>
                <w:lang w:val="en-US" w:eastAsia="zh-CN"/>
              </w:rPr>
            </w:pPr>
            <w:r>
              <w:rPr>
                <w:rFonts w:hint="eastAsia" w:ascii="宋体" w:hAnsi="宋体" w:cs="宋体"/>
                <w:color w:val="171717"/>
                <w:kern w:val="0"/>
                <w:szCs w:val="21"/>
                <w:lang w:val="en-US" w:eastAsia="zh-CN"/>
              </w:rPr>
              <w:t>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171717"/>
                <w:kern w:val="0"/>
                <w:sz w:val="21"/>
                <w:szCs w:val="21"/>
                <w:lang w:val="en-US" w:eastAsia="zh-CN" w:bidi="ar-SA"/>
              </w:rPr>
            </w:pPr>
            <w:r>
              <w:rPr>
                <w:rFonts w:hint="eastAsia" w:ascii="宋体" w:hAnsi="宋体" w:eastAsia="宋体" w:cs="宋体"/>
                <w:color w:val="171717"/>
                <w:kern w:val="0"/>
                <w:sz w:val="21"/>
                <w:szCs w:val="21"/>
                <w:lang w:val="en-US" w:eastAsia="zh-CN" w:bidi="ar-SA"/>
              </w:rPr>
              <w:t>零部件测绘及CAD制图实训室</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宋体" w:hAnsi="宋体" w:eastAsia="宋体" w:cs="宋体"/>
                <w:color w:val="171717"/>
                <w:kern w:val="0"/>
                <w:szCs w:val="21"/>
                <w:lang w:val="en-US" w:eastAsia="zh-CN"/>
              </w:rPr>
            </w:pPr>
            <w:r>
              <w:rPr>
                <w:rFonts w:hint="eastAsia" w:ascii="宋体" w:hAnsi="宋体" w:cs="宋体"/>
                <w:color w:val="171717"/>
                <w:kern w:val="0"/>
                <w:szCs w:val="21"/>
                <w:lang w:val="en-US" w:eastAsia="zh-CN"/>
              </w:rPr>
              <w:t>16</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171717"/>
                <w:kern w:val="0"/>
                <w:szCs w:val="21"/>
              </w:rPr>
            </w:pPr>
            <w:r>
              <w:rPr>
                <w:rFonts w:hint="eastAsia" w:ascii="宋体" w:hAnsi="宋体" w:cs="宋体"/>
                <w:color w:val="171717"/>
                <w:kern w:val="0"/>
                <w:szCs w:val="21"/>
              </w:rPr>
              <w:t>二维设计软件</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171717"/>
                <w:kern w:val="0"/>
                <w:szCs w:val="21"/>
              </w:rPr>
            </w:pPr>
            <w:r>
              <w:rPr>
                <w:rFonts w:hint="eastAsia" w:ascii="宋体" w:hAnsi="宋体" w:cs="宋体"/>
                <w:kern w:val="0"/>
                <w:szCs w:val="21"/>
              </w:rPr>
              <w:t>企业常用软件</w:t>
            </w:r>
            <w:r>
              <w:rPr>
                <w:rFonts w:hint="eastAsia" w:ascii="宋体" w:hAnsi="宋体" w:cs="宋体"/>
                <w:bCs/>
                <w:kern w:val="0"/>
                <w:szCs w:val="21"/>
              </w:rPr>
              <w:t>（近3年内版本）</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color w:val="171717"/>
                <w:kern w:val="0"/>
                <w:szCs w:val="21"/>
              </w:rPr>
            </w:pPr>
            <w:r>
              <w:rPr>
                <w:rFonts w:hint="eastAsia" w:ascii="宋体" w:hAnsi="宋体" w:cs="宋体"/>
                <w:bCs/>
                <w:kern w:val="0"/>
                <w:szCs w:val="21"/>
              </w:rPr>
              <w:t>节点</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宋体" w:hAnsi="宋体" w:eastAsia="宋体" w:cs="宋体"/>
                <w:color w:val="171717"/>
                <w:kern w:val="0"/>
                <w:szCs w:val="21"/>
                <w:lang w:val="en-US" w:eastAsia="zh-CN"/>
              </w:rPr>
            </w:pPr>
            <w:r>
              <w:rPr>
                <w:rFonts w:hint="eastAsia" w:ascii="宋体" w:hAnsi="宋体" w:cs="宋体"/>
                <w:color w:val="171717"/>
                <w:kern w:val="0"/>
                <w:szCs w:val="21"/>
                <w:lang w:val="en-US" w:eastAsia="zh-CN"/>
              </w:rPr>
              <w:t>40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171717"/>
                <w:kern w:val="0"/>
                <w:sz w:val="21"/>
                <w:szCs w:val="21"/>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宋体" w:hAnsi="宋体" w:eastAsia="宋体" w:cs="宋体"/>
                <w:color w:val="171717"/>
                <w:kern w:val="0"/>
                <w:szCs w:val="21"/>
                <w:lang w:val="en-US" w:eastAsia="zh-CN"/>
              </w:rPr>
            </w:pPr>
            <w:r>
              <w:rPr>
                <w:rFonts w:hint="eastAsia" w:ascii="宋体" w:hAnsi="宋体" w:cs="宋体"/>
                <w:color w:val="171717"/>
                <w:kern w:val="0"/>
                <w:szCs w:val="21"/>
                <w:lang w:val="en-US" w:eastAsia="zh-CN"/>
              </w:rPr>
              <w:t>17</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三维设计软件</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企业常用软件（近3年内版本）</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171717"/>
                <w:kern w:val="0"/>
                <w:sz w:val="21"/>
                <w:szCs w:val="21"/>
                <w:lang w:val="en-US" w:eastAsia="zh-CN" w:bidi="ar-SA"/>
              </w:rPr>
            </w:pPr>
            <w:r>
              <w:rPr>
                <w:rFonts w:hint="eastAsia" w:ascii="宋体" w:hAnsi="宋体" w:cs="宋体"/>
                <w:bCs/>
                <w:kern w:val="0"/>
                <w:szCs w:val="21"/>
              </w:rPr>
              <w:t>节点</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171717"/>
                <w:kern w:val="0"/>
                <w:sz w:val="21"/>
                <w:szCs w:val="21"/>
                <w:lang w:val="en-US" w:eastAsia="zh-CN" w:bidi="ar-SA"/>
              </w:rPr>
            </w:pPr>
            <w:r>
              <w:rPr>
                <w:rFonts w:hint="eastAsia" w:ascii="宋体" w:hAnsi="宋体" w:cs="宋体"/>
                <w:color w:val="171717"/>
                <w:kern w:val="0"/>
                <w:szCs w:val="21"/>
                <w:lang w:val="en-US" w:eastAsia="zh-CN"/>
              </w:rPr>
              <w:t>40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171717"/>
                <w:kern w:val="0"/>
                <w:sz w:val="21"/>
                <w:szCs w:val="21"/>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宋体" w:hAnsi="宋体" w:cs="宋体"/>
                <w:color w:val="171717"/>
                <w:kern w:val="0"/>
                <w:szCs w:val="21"/>
                <w:lang w:val="en-US" w:eastAsia="zh-CN"/>
              </w:rPr>
            </w:pPr>
            <w:r>
              <w:rPr>
                <w:rFonts w:hint="eastAsia" w:ascii="宋体" w:hAnsi="宋体" w:cs="宋体"/>
                <w:color w:val="171717"/>
                <w:kern w:val="0"/>
                <w:szCs w:val="21"/>
                <w:lang w:val="en-US" w:eastAsia="zh-CN"/>
              </w:rPr>
              <w:t>18</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零部件测绘实训室工量具</w:t>
            </w:r>
          </w:p>
          <w:p>
            <w:pPr>
              <w:widowControl/>
              <w:jc w:val="center"/>
              <w:rPr>
                <w:rFonts w:hint="eastAsia" w:ascii="宋体" w:hAnsi="宋体" w:cs="宋体"/>
                <w:kern w:val="0"/>
                <w:szCs w:val="21"/>
                <w:lang w:val="en-US" w:eastAsia="zh-CN"/>
              </w:rPr>
            </w:pP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常用测绘工具</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套</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宋体" w:hAnsi="宋体" w:cs="宋体"/>
                <w:color w:val="171717"/>
                <w:kern w:val="0"/>
                <w:szCs w:val="21"/>
                <w:lang w:val="en-US" w:eastAsia="zh-CN"/>
              </w:rPr>
            </w:pPr>
            <w:r>
              <w:rPr>
                <w:rFonts w:hint="eastAsia" w:ascii="宋体" w:hAnsi="宋体" w:cs="宋体"/>
                <w:color w:val="171717"/>
                <w:kern w:val="0"/>
                <w:szCs w:val="21"/>
                <w:lang w:val="en-US" w:eastAsia="zh-CN"/>
              </w:rPr>
              <w:t>20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171717"/>
                <w:kern w:val="0"/>
                <w:szCs w:val="21"/>
                <w:lang w:val="en-US" w:eastAsia="zh-CN"/>
              </w:rPr>
            </w:pPr>
            <w:r>
              <w:rPr>
                <w:rFonts w:hint="eastAsia" w:ascii="宋体" w:hAnsi="宋体" w:cs="宋体"/>
                <w:color w:val="171717"/>
                <w:kern w:val="0"/>
                <w:szCs w:val="21"/>
                <w:lang w:val="en-US" w:eastAsia="zh-CN"/>
              </w:rPr>
              <w:t>8</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171717"/>
                <w:kern w:val="0"/>
                <w:sz w:val="21"/>
                <w:szCs w:val="21"/>
                <w:lang w:val="en-US" w:eastAsia="zh-CN" w:bidi="ar-SA"/>
              </w:rPr>
            </w:pPr>
            <w:r>
              <w:rPr>
                <w:rFonts w:hint="eastAsia" w:ascii="宋体" w:hAnsi="宋体" w:eastAsia="宋体" w:cs="宋体"/>
                <w:color w:val="171717"/>
                <w:kern w:val="0"/>
                <w:sz w:val="21"/>
                <w:szCs w:val="21"/>
                <w:lang w:val="en-US" w:eastAsia="zh-CN" w:bidi="ar-SA"/>
              </w:rPr>
              <w:t>三维数字化及3D打印实训室</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宋体" w:hAnsi="宋体" w:cs="宋体"/>
                <w:color w:val="171717"/>
                <w:kern w:val="0"/>
                <w:szCs w:val="21"/>
                <w:lang w:val="en-US" w:eastAsia="zh-CN"/>
              </w:rPr>
            </w:pPr>
            <w:r>
              <w:rPr>
                <w:rFonts w:hint="eastAsia" w:ascii="宋体" w:hAnsi="宋体" w:cs="宋体"/>
                <w:color w:val="171717"/>
                <w:kern w:val="0"/>
                <w:szCs w:val="21"/>
                <w:lang w:val="en-US" w:eastAsia="zh-CN"/>
              </w:rPr>
              <w:t>19</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三维建模软件</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rPr>
              <w:t>企业常用软件（近3年内版本）</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171717"/>
                <w:kern w:val="0"/>
                <w:sz w:val="21"/>
                <w:szCs w:val="21"/>
                <w:lang w:val="en-US" w:eastAsia="zh-CN" w:bidi="ar-SA"/>
              </w:rPr>
            </w:pPr>
            <w:r>
              <w:rPr>
                <w:rFonts w:hint="eastAsia" w:ascii="宋体" w:hAnsi="宋体" w:cs="宋体"/>
                <w:bCs/>
                <w:kern w:val="0"/>
                <w:szCs w:val="21"/>
              </w:rPr>
              <w:t>节点</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color w:val="171717"/>
                <w:kern w:val="0"/>
                <w:sz w:val="21"/>
                <w:szCs w:val="21"/>
                <w:lang w:val="en-US" w:eastAsia="zh-CN" w:bidi="ar-SA"/>
              </w:rPr>
            </w:pPr>
            <w:r>
              <w:rPr>
                <w:rFonts w:hint="eastAsia" w:ascii="宋体" w:hAnsi="宋体" w:cs="宋体"/>
                <w:color w:val="171717"/>
                <w:kern w:val="0"/>
                <w:szCs w:val="21"/>
                <w:lang w:val="en-US" w:eastAsia="zh-CN"/>
              </w:rPr>
              <w:t>40</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171717"/>
                <w:kern w:val="0"/>
                <w:sz w:val="21"/>
                <w:szCs w:val="21"/>
                <w:lang w:val="en-US" w:eastAsia="zh-CN" w:bidi="ar-SA"/>
              </w:rPr>
            </w:pP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宋体" w:hAnsi="宋体" w:cs="宋体"/>
                <w:color w:val="171717"/>
                <w:kern w:val="0"/>
                <w:szCs w:val="21"/>
                <w:lang w:val="en-US" w:eastAsia="zh-CN"/>
              </w:rPr>
            </w:pPr>
            <w:r>
              <w:rPr>
                <w:rFonts w:hint="eastAsia" w:ascii="宋体" w:hAnsi="宋体" w:cs="宋体"/>
                <w:color w:val="171717"/>
                <w:kern w:val="0"/>
                <w:szCs w:val="21"/>
                <w:lang w:val="en-US" w:eastAsia="zh-CN"/>
              </w:rPr>
              <w:t>20</w:t>
            </w:r>
          </w:p>
        </w:tc>
        <w:tc>
          <w:tcPr>
            <w:tcW w:w="1410"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教学3D打印机</w:t>
            </w:r>
          </w:p>
        </w:tc>
        <w:tc>
          <w:tcPr>
            <w:tcW w:w="255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成型体积：≥200*200*300mm</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cs="宋体"/>
                <w:bCs/>
                <w:kern w:val="0"/>
                <w:szCs w:val="21"/>
                <w:lang w:val="en-US" w:eastAsia="zh-CN"/>
              </w:rPr>
            </w:pPr>
            <w:r>
              <w:rPr>
                <w:rFonts w:hint="eastAsia" w:ascii="宋体" w:hAnsi="宋体" w:cs="宋体"/>
                <w:bCs/>
                <w:kern w:val="0"/>
                <w:szCs w:val="21"/>
                <w:lang w:val="en-US" w:eastAsia="zh-CN"/>
              </w:rPr>
              <w:t>套</w:t>
            </w:r>
          </w:p>
        </w:tc>
        <w:tc>
          <w:tcPr>
            <w:tcW w:w="709" w:type="dxa"/>
            <w:tcBorders>
              <w:top w:val="single" w:color="000000" w:sz="4" w:space="0"/>
              <w:left w:val="nil"/>
              <w:bottom w:val="single" w:color="000000" w:sz="4" w:space="0"/>
              <w:right w:val="single" w:color="000000" w:sz="4" w:space="0"/>
            </w:tcBorders>
            <w:noWrap w:val="0"/>
            <w:vAlign w:val="center"/>
          </w:tcPr>
          <w:p>
            <w:pPr>
              <w:widowControl/>
              <w:jc w:val="center"/>
              <w:rPr>
                <w:rFonts w:hint="default" w:ascii="宋体" w:hAnsi="宋体" w:cs="宋体"/>
                <w:color w:val="171717"/>
                <w:kern w:val="0"/>
                <w:szCs w:val="21"/>
                <w:lang w:val="en-US" w:eastAsia="zh-CN"/>
              </w:rPr>
            </w:pPr>
            <w:r>
              <w:rPr>
                <w:rFonts w:hint="eastAsia" w:ascii="宋体" w:hAnsi="宋体" w:cs="宋体"/>
                <w:color w:val="171717"/>
                <w:kern w:val="0"/>
                <w:szCs w:val="21"/>
                <w:lang w:val="en-US" w:eastAsia="zh-CN"/>
              </w:rPr>
              <w:t>12</w:t>
            </w:r>
          </w:p>
        </w:tc>
        <w:tc>
          <w:tcPr>
            <w:tcW w:w="765"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cs="宋体"/>
                <w:color w:val="171717"/>
                <w:kern w:val="0"/>
                <w:szCs w:val="21"/>
              </w:rPr>
            </w:pPr>
          </w:p>
        </w:tc>
      </w:tr>
      <w:tr>
        <w:tblPrEx>
          <w:tblCellMar>
            <w:top w:w="0" w:type="dxa"/>
            <w:left w:w="108" w:type="dxa"/>
            <w:bottom w:w="0" w:type="dxa"/>
            <w:right w:w="108" w:type="dxa"/>
          </w:tblCellMar>
        </w:tblPrEx>
        <w:trPr>
          <w:trHeight w:val="624" w:hRule="atLeast"/>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171717"/>
                <w:kern w:val="0"/>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宋体"/>
                <w:color w:val="171717"/>
                <w:kern w:val="0"/>
                <w:sz w:val="21"/>
                <w:szCs w:val="21"/>
                <w:lang w:val="en-US" w:eastAsia="zh-CN" w:bidi="ar-SA"/>
              </w:rPr>
            </w:pPr>
          </w:p>
        </w:tc>
        <w:tc>
          <w:tcPr>
            <w:tcW w:w="709" w:type="dxa"/>
            <w:tcBorders>
              <w:top w:val="single" w:color="000000" w:sz="4" w:space="0"/>
              <w:left w:val="nil"/>
              <w:bottom w:val="single" w:color="auto" w:sz="4" w:space="0"/>
              <w:right w:val="single" w:color="000000" w:sz="4" w:space="0"/>
            </w:tcBorders>
            <w:noWrap w:val="0"/>
            <w:vAlign w:val="center"/>
          </w:tcPr>
          <w:p>
            <w:pPr>
              <w:widowControl/>
              <w:jc w:val="center"/>
              <w:rPr>
                <w:rFonts w:hint="default" w:ascii="宋体" w:hAnsi="宋体" w:cs="宋体"/>
                <w:color w:val="171717"/>
                <w:kern w:val="0"/>
                <w:szCs w:val="21"/>
                <w:lang w:val="en-US" w:eastAsia="zh-CN"/>
              </w:rPr>
            </w:pPr>
            <w:r>
              <w:rPr>
                <w:rFonts w:hint="eastAsia" w:ascii="宋体" w:hAnsi="宋体" w:cs="宋体"/>
                <w:color w:val="171717"/>
                <w:kern w:val="0"/>
                <w:szCs w:val="21"/>
                <w:lang w:val="en-US" w:eastAsia="zh-CN"/>
              </w:rPr>
              <w:t>21</w:t>
            </w:r>
          </w:p>
        </w:tc>
        <w:tc>
          <w:tcPr>
            <w:tcW w:w="1410" w:type="dxa"/>
            <w:tcBorders>
              <w:top w:val="single" w:color="000000" w:sz="4" w:space="0"/>
              <w:left w:val="nil"/>
              <w:bottom w:val="single" w:color="auto" w:sz="4" w:space="0"/>
              <w:right w:val="single" w:color="000000"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扫描仪</w:t>
            </w:r>
          </w:p>
        </w:tc>
        <w:tc>
          <w:tcPr>
            <w:tcW w:w="2559" w:type="dxa"/>
            <w:tcBorders>
              <w:top w:val="single" w:color="000000"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固定式、手持和桌面三维扫描仪</w:t>
            </w:r>
          </w:p>
        </w:tc>
        <w:tc>
          <w:tcPr>
            <w:tcW w:w="709" w:type="dxa"/>
            <w:tcBorders>
              <w:top w:val="single" w:color="000000" w:sz="4" w:space="0"/>
              <w:left w:val="nil"/>
              <w:bottom w:val="single" w:color="auto" w:sz="4" w:space="0"/>
              <w:right w:val="single" w:color="000000" w:sz="4" w:space="0"/>
            </w:tcBorders>
            <w:noWrap w:val="0"/>
            <w:vAlign w:val="center"/>
          </w:tcPr>
          <w:p>
            <w:pPr>
              <w:widowControl/>
              <w:jc w:val="center"/>
              <w:rPr>
                <w:rFonts w:hint="eastAsia" w:ascii="宋体" w:hAnsi="宋体" w:cs="宋体"/>
                <w:bCs/>
                <w:kern w:val="0"/>
                <w:szCs w:val="21"/>
                <w:lang w:val="en-US" w:eastAsia="zh-CN"/>
              </w:rPr>
            </w:pPr>
            <w:r>
              <w:rPr>
                <w:rFonts w:hint="eastAsia" w:ascii="宋体" w:hAnsi="宋体" w:cs="宋体"/>
                <w:bCs/>
                <w:kern w:val="0"/>
                <w:szCs w:val="21"/>
                <w:lang w:val="en-US" w:eastAsia="zh-CN"/>
              </w:rPr>
              <w:t>套</w:t>
            </w:r>
          </w:p>
        </w:tc>
        <w:tc>
          <w:tcPr>
            <w:tcW w:w="709" w:type="dxa"/>
            <w:tcBorders>
              <w:top w:val="single" w:color="000000" w:sz="4" w:space="0"/>
              <w:left w:val="nil"/>
              <w:bottom w:val="single" w:color="auto" w:sz="4" w:space="0"/>
              <w:right w:val="single" w:color="000000" w:sz="4" w:space="0"/>
            </w:tcBorders>
            <w:noWrap w:val="0"/>
            <w:vAlign w:val="center"/>
          </w:tcPr>
          <w:p>
            <w:pPr>
              <w:widowControl/>
              <w:jc w:val="center"/>
              <w:rPr>
                <w:rFonts w:hint="default" w:ascii="宋体" w:hAnsi="宋体" w:cs="宋体"/>
                <w:color w:val="171717"/>
                <w:kern w:val="0"/>
                <w:szCs w:val="21"/>
                <w:lang w:val="en-US" w:eastAsia="zh-CN"/>
              </w:rPr>
            </w:pPr>
            <w:r>
              <w:rPr>
                <w:rFonts w:hint="eastAsia" w:ascii="宋体" w:hAnsi="宋体" w:cs="宋体"/>
                <w:color w:val="171717"/>
                <w:kern w:val="0"/>
                <w:szCs w:val="21"/>
                <w:lang w:val="en-US" w:eastAsia="zh-CN"/>
              </w:rPr>
              <w:t>3</w:t>
            </w:r>
          </w:p>
        </w:tc>
        <w:tc>
          <w:tcPr>
            <w:tcW w:w="765" w:type="dxa"/>
            <w:tcBorders>
              <w:top w:val="single" w:color="000000" w:sz="4" w:space="0"/>
              <w:left w:val="nil"/>
              <w:bottom w:val="single" w:color="auto" w:sz="4" w:space="0"/>
              <w:right w:val="single" w:color="auto" w:sz="4" w:space="0"/>
            </w:tcBorders>
            <w:noWrap w:val="0"/>
            <w:vAlign w:val="center"/>
          </w:tcPr>
          <w:p>
            <w:pPr>
              <w:widowControl/>
              <w:jc w:val="center"/>
              <w:rPr>
                <w:rFonts w:ascii="宋体" w:hAnsi="宋体" w:cs="宋体"/>
                <w:color w:val="171717"/>
                <w:kern w:val="0"/>
                <w:szCs w:val="21"/>
              </w:rPr>
            </w:pPr>
          </w:p>
        </w:tc>
      </w:tr>
    </w:tbl>
    <w:p>
      <w:pPr>
        <w:pageBreakBefore w:val="0"/>
        <w:kinsoku/>
        <w:wordWrap/>
        <w:overflowPunct/>
        <w:topLinePunct w:val="0"/>
        <w:autoSpaceDE/>
        <w:autoSpaceDN/>
        <w:bidi w:val="0"/>
        <w:adjustRightInd/>
        <w:snapToGrid/>
        <w:spacing w:line="480" w:lineRule="exact"/>
        <w:ind w:firstLine="560" w:firstLineChars="200"/>
        <w:textAlignment w:val="auto"/>
        <w:rPr>
          <w:rFonts w:ascii="宋体" w:hAnsi="宋体" w:cs="宋体"/>
          <w:sz w:val="28"/>
          <w:szCs w:val="28"/>
        </w:rPr>
      </w:pPr>
      <w:r>
        <w:rPr>
          <w:rFonts w:hint="eastAsia" w:ascii="宋体" w:hAnsi="宋体" w:cs="宋体"/>
          <w:sz w:val="28"/>
          <w:szCs w:val="28"/>
        </w:rPr>
        <w:t>2.校外实训基地</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kern w:val="0"/>
          <w:sz w:val="28"/>
          <w:szCs w:val="28"/>
        </w:rPr>
      </w:pPr>
      <w:r>
        <w:rPr>
          <w:rFonts w:hint="eastAsia" w:ascii="宋体" w:hAnsi="宋体" w:cs="宋体"/>
          <w:color w:val="171717"/>
          <w:kern w:val="0"/>
          <w:sz w:val="28"/>
          <w:szCs w:val="28"/>
        </w:rPr>
        <w:t>学校与企业建立两类的校外实训基地：一类是以专业认识和参观为主的实训基地，能够反映目前专业技能方向新技术，并能同时接纳较多学生学习，为新生入学教育和认识专业课程教学提供条件；另一类是以社会实践及学生顶岗实习为主的实训基地，能够为学生提供真实专业技能方向综合实践轮岗训练的工作岗位，并能保证有效工作时间，该基地能根据培养目标要求和实践教学内容，校企合作共同制订实习计划和</w:t>
      </w:r>
      <w:r>
        <w:rPr>
          <w:rFonts w:hint="eastAsia" w:ascii="宋体" w:hAnsi="宋体" w:cs="宋体"/>
          <w:color w:val="171717"/>
          <w:kern w:val="0"/>
          <w:sz w:val="28"/>
          <w:szCs w:val="28"/>
          <w:lang w:val="en-US" w:eastAsia="zh-CN"/>
        </w:rPr>
        <w:t>课程标准</w:t>
      </w:r>
      <w:r>
        <w:rPr>
          <w:rFonts w:hint="eastAsia" w:ascii="宋体" w:hAnsi="宋体" w:cs="宋体"/>
          <w:color w:val="171717"/>
          <w:kern w:val="0"/>
          <w:sz w:val="28"/>
          <w:szCs w:val="28"/>
        </w:rPr>
        <w:t>，精心编排教学设计并组织、管理教学过程。本专业与莆田市大川汽车有限公司、福建华峰实业有限公司、莆田</w:t>
      </w:r>
      <w:r>
        <w:rPr>
          <w:rFonts w:hint="eastAsia" w:ascii="宋体" w:hAnsi="宋体" w:cs="宋体"/>
          <w:kern w:val="0"/>
          <w:sz w:val="28"/>
          <w:szCs w:val="28"/>
        </w:rPr>
        <w:t>新明宝化学工业有限公司等进行校企合作。</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color w:val="171717"/>
          <w:kern w:val="0"/>
          <w:sz w:val="28"/>
          <w:szCs w:val="28"/>
        </w:rPr>
      </w:pPr>
      <w:r>
        <w:rPr>
          <w:rFonts w:hint="eastAsia" w:ascii="宋体" w:hAnsi="宋体" w:cs="宋体"/>
          <w:color w:val="171717"/>
          <w:kern w:val="0"/>
          <w:sz w:val="28"/>
          <w:szCs w:val="28"/>
        </w:rPr>
        <w:t>以上这些教学设施基本能够满足本专业的教学需求。</w:t>
      </w:r>
    </w:p>
    <w:p>
      <w:pPr>
        <w:pageBreakBefore w:val="0"/>
        <w:kinsoku/>
        <w:wordWrap/>
        <w:overflowPunct/>
        <w:topLinePunct w:val="0"/>
        <w:autoSpaceDE/>
        <w:autoSpaceDN/>
        <w:bidi w:val="0"/>
        <w:adjustRightInd/>
        <w:snapToGrid/>
        <w:spacing w:line="480" w:lineRule="exact"/>
        <w:ind w:firstLine="562" w:firstLineChars="200"/>
        <w:jc w:val="left"/>
        <w:textAlignment w:val="auto"/>
        <w:rPr>
          <w:rFonts w:ascii="宋体" w:hAnsi="宋体" w:cs="宋体"/>
          <w:b/>
          <w:sz w:val="28"/>
          <w:szCs w:val="28"/>
        </w:rPr>
      </w:pPr>
      <w:r>
        <w:rPr>
          <w:rFonts w:hint="eastAsia" w:ascii="宋体" w:hAnsi="宋体" w:cs="宋体"/>
          <w:b/>
          <w:sz w:val="28"/>
          <w:szCs w:val="28"/>
        </w:rPr>
        <w:t>（三）教学资源</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color w:val="171717"/>
          <w:kern w:val="0"/>
          <w:sz w:val="28"/>
          <w:szCs w:val="28"/>
        </w:rPr>
      </w:pPr>
      <w:r>
        <w:rPr>
          <w:rFonts w:hint="eastAsia" w:ascii="宋体" w:hAnsi="宋体" w:cs="宋体"/>
          <w:color w:val="171717"/>
          <w:kern w:val="0"/>
          <w:sz w:val="28"/>
          <w:szCs w:val="28"/>
        </w:rPr>
        <w:t>本</w:t>
      </w:r>
      <w:r>
        <w:rPr>
          <w:rFonts w:ascii="宋体" w:hAnsi="宋体" w:cs="宋体"/>
          <w:color w:val="171717"/>
          <w:kern w:val="0"/>
          <w:sz w:val="28"/>
          <w:szCs w:val="28"/>
        </w:rPr>
        <w:t>专业的</w:t>
      </w:r>
      <w:r>
        <w:rPr>
          <w:rFonts w:hint="eastAsia" w:ascii="宋体" w:hAnsi="宋体" w:cs="宋体"/>
          <w:color w:val="171717"/>
          <w:kern w:val="0"/>
          <w:sz w:val="28"/>
          <w:szCs w:val="28"/>
        </w:rPr>
        <w:t>教学</w:t>
      </w:r>
      <w:r>
        <w:rPr>
          <w:rFonts w:ascii="宋体" w:hAnsi="宋体" w:cs="宋体"/>
          <w:color w:val="171717"/>
          <w:kern w:val="0"/>
          <w:sz w:val="28"/>
          <w:szCs w:val="28"/>
        </w:rPr>
        <w:t>资源</w:t>
      </w:r>
      <w:r>
        <w:rPr>
          <w:rFonts w:hint="eastAsia" w:ascii="宋体" w:hAnsi="宋体" w:cs="宋体"/>
          <w:color w:val="171717"/>
          <w:kern w:val="0"/>
          <w:sz w:val="28"/>
          <w:szCs w:val="28"/>
        </w:rPr>
        <w:t>包括以下内容：</w:t>
      </w:r>
      <w:r>
        <w:rPr>
          <w:rFonts w:ascii="宋体" w:hAnsi="宋体" w:cs="宋体"/>
          <w:color w:val="171717"/>
          <w:kern w:val="0"/>
          <w:sz w:val="28"/>
          <w:szCs w:val="28"/>
        </w:rPr>
        <w:t xml:space="preserve">  </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color w:val="171717"/>
          <w:kern w:val="0"/>
          <w:sz w:val="28"/>
          <w:szCs w:val="28"/>
        </w:rPr>
      </w:pPr>
      <w:r>
        <w:rPr>
          <w:rFonts w:ascii="宋体" w:hAnsi="宋体" w:cs="宋体"/>
          <w:color w:val="171717"/>
          <w:kern w:val="0"/>
          <w:sz w:val="28"/>
          <w:szCs w:val="28"/>
        </w:rPr>
        <w:t xml:space="preserve">1.教学指导文件资源 </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color w:val="171717"/>
          <w:kern w:val="0"/>
          <w:sz w:val="28"/>
          <w:szCs w:val="28"/>
        </w:rPr>
      </w:pPr>
      <w:r>
        <w:rPr>
          <w:rFonts w:ascii="宋体" w:hAnsi="宋体" w:cs="宋体"/>
          <w:color w:val="171717"/>
          <w:kern w:val="0"/>
          <w:sz w:val="28"/>
          <w:szCs w:val="28"/>
        </w:rPr>
        <w:t xml:space="preserve">包括课程标准、教学计划、教学要求、学校关于教学管理的各种规范等。教师在各种教学活动中必须严格遵守这些教学文件。 </w:t>
      </w:r>
    </w:p>
    <w:p>
      <w:pPr>
        <w:pageBreakBefore w:val="0"/>
        <w:widowControl/>
        <w:numPr>
          <w:ilvl w:val="0"/>
          <w:numId w:val="0"/>
        </w:numPr>
        <w:kinsoku/>
        <w:wordWrap/>
        <w:overflowPunct/>
        <w:topLinePunct w:val="0"/>
        <w:autoSpaceDE/>
        <w:autoSpaceDN/>
        <w:bidi w:val="0"/>
        <w:adjustRightInd/>
        <w:snapToGrid/>
        <w:spacing w:line="480" w:lineRule="exact"/>
        <w:ind w:leftChars="200"/>
        <w:jc w:val="left"/>
        <w:textAlignment w:val="auto"/>
        <w:rPr>
          <w:rFonts w:ascii="宋体" w:hAnsi="宋体" w:cs="宋体"/>
          <w:color w:val="171717"/>
          <w:kern w:val="0"/>
          <w:sz w:val="28"/>
          <w:szCs w:val="28"/>
        </w:rPr>
      </w:pPr>
      <w:r>
        <w:rPr>
          <w:rFonts w:hint="eastAsia" w:ascii="宋体" w:hAnsi="宋体" w:cs="宋体"/>
          <w:color w:val="171717"/>
          <w:kern w:val="0"/>
          <w:sz w:val="28"/>
          <w:szCs w:val="28"/>
          <w:lang w:val="en-US" w:eastAsia="zh-CN"/>
        </w:rPr>
        <w:t>2</w:t>
      </w:r>
      <w:r>
        <w:rPr>
          <w:rFonts w:ascii="宋体" w:hAnsi="宋体" w:cs="宋体"/>
          <w:color w:val="171717"/>
          <w:kern w:val="0"/>
          <w:sz w:val="28"/>
          <w:szCs w:val="28"/>
        </w:rPr>
        <w:t>.电子教案、课件资源</w:t>
      </w:r>
    </w:p>
    <w:p>
      <w:pPr>
        <w:pageBreakBefore w:val="0"/>
        <w:widowControl/>
        <w:numPr>
          <w:ilvl w:val="0"/>
          <w:numId w:val="0"/>
        </w:numPr>
        <w:kinsoku/>
        <w:wordWrap/>
        <w:overflowPunct/>
        <w:topLinePunct w:val="0"/>
        <w:autoSpaceDE/>
        <w:autoSpaceDN/>
        <w:bidi w:val="0"/>
        <w:adjustRightInd/>
        <w:snapToGrid/>
        <w:spacing w:line="480" w:lineRule="exact"/>
        <w:ind w:leftChars="200"/>
        <w:jc w:val="left"/>
        <w:textAlignment w:val="auto"/>
        <w:rPr>
          <w:rFonts w:ascii="宋体" w:hAnsi="宋体" w:cs="宋体"/>
          <w:color w:val="171717"/>
          <w:kern w:val="0"/>
          <w:sz w:val="28"/>
          <w:szCs w:val="28"/>
        </w:rPr>
      </w:pPr>
      <w:r>
        <w:rPr>
          <w:rFonts w:ascii="宋体" w:hAnsi="宋体" w:cs="宋体"/>
          <w:color w:val="171717"/>
          <w:kern w:val="0"/>
          <w:sz w:val="28"/>
          <w:szCs w:val="28"/>
        </w:rPr>
        <w:t xml:space="preserve"> 包含</w:t>
      </w:r>
      <w:r>
        <w:rPr>
          <w:rFonts w:hint="eastAsia" w:ascii="宋体" w:hAnsi="宋体" w:cs="宋体"/>
          <w:color w:val="171717"/>
          <w:kern w:val="0"/>
          <w:sz w:val="28"/>
          <w:szCs w:val="28"/>
        </w:rPr>
        <w:t>各门课程</w:t>
      </w:r>
      <w:r>
        <w:rPr>
          <w:rFonts w:ascii="宋体" w:hAnsi="宋体" w:cs="宋体"/>
          <w:color w:val="171717"/>
          <w:kern w:val="0"/>
          <w:sz w:val="28"/>
          <w:szCs w:val="28"/>
        </w:rPr>
        <w:t>教学用电子教案和各类相关课件，这些教案是教师</w:t>
      </w:r>
    </w:p>
    <w:p>
      <w:pPr>
        <w:pageBreakBefore w:val="0"/>
        <w:widowControl/>
        <w:numPr>
          <w:ilvl w:val="0"/>
          <w:numId w:val="0"/>
        </w:numPr>
        <w:kinsoku/>
        <w:wordWrap/>
        <w:overflowPunct/>
        <w:topLinePunct w:val="0"/>
        <w:autoSpaceDE/>
        <w:autoSpaceDN/>
        <w:bidi w:val="0"/>
        <w:adjustRightInd/>
        <w:snapToGrid/>
        <w:spacing w:line="480" w:lineRule="exact"/>
        <w:jc w:val="left"/>
        <w:textAlignment w:val="auto"/>
        <w:rPr>
          <w:rFonts w:ascii="宋体" w:hAnsi="宋体" w:cs="宋体"/>
          <w:color w:val="171717"/>
          <w:kern w:val="0"/>
          <w:sz w:val="28"/>
          <w:szCs w:val="28"/>
        </w:rPr>
      </w:pPr>
      <w:r>
        <w:rPr>
          <w:rFonts w:ascii="宋体" w:hAnsi="宋体" w:cs="宋体"/>
          <w:color w:val="171717"/>
          <w:kern w:val="0"/>
          <w:sz w:val="28"/>
          <w:szCs w:val="28"/>
        </w:rPr>
        <w:t xml:space="preserve">上课时的指导性材料，而相关课件则是电子教案的有益补充，起到提炼知识和扩展知识面的作用。 </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color w:val="171717"/>
          <w:kern w:val="0"/>
          <w:sz w:val="28"/>
          <w:szCs w:val="28"/>
        </w:rPr>
      </w:pPr>
      <w:r>
        <w:rPr>
          <w:rFonts w:ascii="宋体" w:hAnsi="宋体" w:cs="宋体"/>
          <w:color w:val="171717"/>
          <w:kern w:val="0"/>
          <w:sz w:val="28"/>
          <w:szCs w:val="28"/>
        </w:rPr>
        <w:t xml:space="preserve">3.应用软件资源 </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color w:val="171717"/>
          <w:kern w:val="0"/>
          <w:sz w:val="28"/>
          <w:szCs w:val="28"/>
        </w:rPr>
      </w:pPr>
      <w:r>
        <w:rPr>
          <w:rFonts w:ascii="宋体" w:hAnsi="宋体" w:cs="宋体"/>
          <w:color w:val="171717"/>
          <w:kern w:val="0"/>
          <w:sz w:val="28"/>
          <w:szCs w:val="28"/>
        </w:rPr>
        <w:t>包含</w:t>
      </w:r>
      <w:r>
        <w:rPr>
          <w:rFonts w:hint="eastAsia" w:ascii="宋体" w:hAnsi="宋体" w:cs="宋体"/>
          <w:color w:val="171717"/>
          <w:kern w:val="0"/>
          <w:sz w:val="28"/>
          <w:szCs w:val="28"/>
        </w:rPr>
        <w:t>斯沃</w:t>
      </w:r>
      <w:r>
        <w:rPr>
          <w:rFonts w:ascii="宋体" w:hAnsi="宋体" w:cs="宋体"/>
          <w:color w:val="171717"/>
          <w:kern w:val="0"/>
          <w:sz w:val="28"/>
          <w:szCs w:val="28"/>
        </w:rPr>
        <w:t xml:space="preserve">数控仿真软件、CAXA制造工程师、CAXA数控车、MasterCAM、华中数控数据传输软件、工艺参数查询软件以及教师备课所用的PowerPoint 2003、Word 2003、Excel 2003等，它们都是数控教学不可缺少的应用软件。 </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color w:val="171717"/>
          <w:kern w:val="0"/>
          <w:sz w:val="28"/>
          <w:szCs w:val="28"/>
        </w:rPr>
      </w:pPr>
      <w:r>
        <w:rPr>
          <w:rFonts w:ascii="宋体" w:hAnsi="宋体" w:cs="宋体"/>
          <w:color w:val="171717"/>
          <w:kern w:val="0"/>
          <w:sz w:val="28"/>
          <w:szCs w:val="28"/>
        </w:rPr>
        <w:t>4.</w:t>
      </w:r>
      <w:r>
        <w:rPr>
          <w:rFonts w:hint="eastAsia" w:ascii="宋体" w:hAnsi="宋体" w:cs="宋体"/>
          <w:color w:val="171717"/>
          <w:kern w:val="0"/>
          <w:sz w:val="28"/>
          <w:szCs w:val="28"/>
        </w:rPr>
        <w:t>视</w:t>
      </w:r>
      <w:r>
        <w:rPr>
          <w:rFonts w:ascii="宋体" w:hAnsi="宋体" w:cs="宋体"/>
          <w:color w:val="171717"/>
          <w:kern w:val="0"/>
          <w:sz w:val="28"/>
          <w:szCs w:val="28"/>
        </w:rPr>
        <w:t xml:space="preserve">频动画教学学习资源 </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color w:val="171717"/>
          <w:kern w:val="0"/>
          <w:sz w:val="28"/>
          <w:szCs w:val="28"/>
        </w:rPr>
      </w:pPr>
      <w:r>
        <w:rPr>
          <w:rFonts w:ascii="宋体" w:hAnsi="宋体" w:cs="宋体"/>
          <w:color w:val="171717"/>
          <w:kern w:val="0"/>
          <w:sz w:val="28"/>
          <w:szCs w:val="28"/>
        </w:rPr>
        <w:t xml:space="preserve">包含一些视频讲座、视频教学、高技能人才故事、软件应用视频以及数控机床结构的动画讲解等，资源非常丰富，它们是现代课堂教学不可或缺的一部分。 </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color w:val="171717"/>
          <w:kern w:val="0"/>
          <w:sz w:val="28"/>
          <w:szCs w:val="28"/>
        </w:rPr>
      </w:pPr>
      <w:r>
        <w:rPr>
          <w:rFonts w:ascii="宋体" w:hAnsi="宋体" w:cs="宋体"/>
          <w:color w:val="171717"/>
          <w:kern w:val="0"/>
          <w:sz w:val="28"/>
          <w:szCs w:val="28"/>
        </w:rPr>
        <w:t>5.职业资格证资源</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color w:val="171717"/>
          <w:kern w:val="0"/>
          <w:sz w:val="28"/>
          <w:szCs w:val="28"/>
        </w:rPr>
      </w:pPr>
      <w:r>
        <w:rPr>
          <w:rFonts w:ascii="宋体" w:hAnsi="宋体" w:cs="宋体"/>
          <w:color w:val="171717"/>
          <w:kern w:val="0"/>
          <w:sz w:val="28"/>
          <w:szCs w:val="28"/>
        </w:rPr>
        <w:t xml:space="preserve">该资源库包含有数控车和数控铣中级资格证书的考试培训学习资料。还有国家数控中级资格证考试标准等内容。 </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cs="宋体"/>
          <w:color w:val="171717"/>
          <w:kern w:val="0"/>
          <w:sz w:val="28"/>
          <w:szCs w:val="28"/>
        </w:rPr>
      </w:pPr>
      <w:r>
        <w:rPr>
          <w:rFonts w:hint="eastAsia" w:ascii="宋体" w:hAnsi="宋体" w:cs="宋体"/>
          <w:color w:val="171717"/>
          <w:kern w:val="0"/>
          <w:sz w:val="28"/>
          <w:szCs w:val="28"/>
        </w:rPr>
        <w:t>6</w:t>
      </w:r>
      <w:r>
        <w:rPr>
          <w:rFonts w:ascii="宋体" w:hAnsi="宋体" w:cs="宋体"/>
          <w:color w:val="171717"/>
          <w:kern w:val="0"/>
          <w:sz w:val="28"/>
          <w:szCs w:val="28"/>
        </w:rPr>
        <w:t xml:space="preserve">.典型零件加工工艺资源 </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color w:val="171717"/>
          <w:kern w:val="0"/>
          <w:sz w:val="28"/>
          <w:szCs w:val="28"/>
        </w:rPr>
      </w:pPr>
      <w:r>
        <w:rPr>
          <w:rFonts w:ascii="宋体" w:hAnsi="宋体" w:cs="宋体"/>
          <w:color w:val="171717"/>
          <w:kern w:val="0"/>
          <w:sz w:val="28"/>
          <w:szCs w:val="28"/>
        </w:rPr>
        <w:t xml:space="preserve">数控加工技术主要分为数控车削和数控铣削技术，经过人们常年的积累，对不同类型零件的加工已经形成了固定的工艺，后续学习者只需理解这些工艺方法就能够很好的掌握数控加工常用的技术方法。 </w:t>
      </w:r>
    </w:p>
    <w:p>
      <w:pPr>
        <w:pageBreakBefore w:val="0"/>
        <w:kinsoku/>
        <w:wordWrap/>
        <w:overflowPunct/>
        <w:topLinePunct w:val="0"/>
        <w:autoSpaceDE/>
        <w:autoSpaceDN/>
        <w:bidi w:val="0"/>
        <w:adjustRightInd/>
        <w:snapToGrid/>
        <w:spacing w:line="480" w:lineRule="exact"/>
        <w:ind w:firstLine="562" w:firstLineChars="200"/>
        <w:jc w:val="left"/>
        <w:textAlignment w:val="auto"/>
        <w:rPr>
          <w:rFonts w:ascii="宋体" w:hAnsi="宋体" w:cs="宋体"/>
          <w:b/>
          <w:sz w:val="28"/>
          <w:szCs w:val="28"/>
        </w:rPr>
      </w:pPr>
      <w:r>
        <w:rPr>
          <w:rFonts w:hint="eastAsia" w:ascii="宋体" w:hAnsi="宋体" w:cs="宋体"/>
          <w:b/>
          <w:sz w:val="28"/>
          <w:szCs w:val="28"/>
        </w:rPr>
        <w:t>（四）教学方法</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sz w:val="28"/>
          <w:szCs w:val="28"/>
        </w:rPr>
      </w:pPr>
      <w:r>
        <w:rPr>
          <w:rFonts w:hint="eastAsia" w:ascii="宋体" w:hAnsi="宋体"/>
          <w:color w:val="000000"/>
          <w:sz w:val="28"/>
          <w:szCs w:val="28"/>
        </w:rPr>
        <w:t>教学过程中，以“项目驱动教学”作为主要教学方法同时，灵活穿插 “案例分析”、“项目教学”“情境教学”“模块化教学”、“讲练结合教学”、“多元互动教学”、“以赛促学”等多种教学方式。</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sz w:val="28"/>
          <w:szCs w:val="28"/>
        </w:rPr>
      </w:pPr>
      <w:r>
        <w:rPr>
          <w:rFonts w:hint="eastAsia" w:ascii="宋体" w:hAnsi="宋体"/>
          <w:color w:val="000000"/>
          <w:sz w:val="28"/>
          <w:szCs w:val="28"/>
        </w:rPr>
        <w:t>项目驱动教学法在数控教学的工作中已经得到了广泛的运用，并逐渐成为数控教学过程中重要的教学策略之一。教师可以通过以具体的项目为载体，引导学生自助思考解决实际问题，在具体项目的基础上建立起理论教学的平台，从而完成这门专业技术性较强的数控技术应用的教学工作。</w:t>
      </w:r>
    </w:p>
    <w:p>
      <w:pPr>
        <w:pageBreakBefore w:val="0"/>
        <w:widowControl/>
        <w:kinsoku/>
        <w:wordWrap/>
        <w:overflowPunct/>
        <w:topLinePunct w:val="0"/>
        <w:autoSpaceDE/>
        <w:autoSpaceDN/>
        <w:bidi w:val="0"/>
        <w:adjustRightInd/>
        <w:snapToGrid/>
        <w:spacing w:line="480" w:lineRule="exact"/>
        <w:jc w:val="left"/>
        <w:textAlignment w:val="auto"/>
        <w:rPr>
          <w:rFonts w:ascii="宋体" w:hAnsi="宋体"/>
          <w:color w:val="000000"/>
          <w:sz w:val="28"/>
          <w:szCs w:val="28"/>
        </w:rPr>
      </w:pPr>
      <w:r>
        <w:rPr>
          <w:rFonts w:hint="eastAsia" w:ascii="宋体" w:hAnsi="宋体"/>
          <w:color w:val="000000"/>
          <w:sz w:val="28"/>
          <w:szCs w:val="28"/>
        </w:rPr>
        <w:t>比如在数控铣床加工与编程这门课程中，学生被分成学习小组，针对教师准备进行数控加工的工件展开讨论，制定工件数控加工整个流程方案、具体的数据参数和加工过程编程，最后进行具体操作演示。随后针对于不同小组的方案结果进行总结讨论，分析其利弊所在，并选出最优的操作方案。通过以点及面的方法，根据具体的项目实践操作来完成具体的技能教学课程。在整个项目的研究操作过程中，学生通过自助思考讨论，能够很好地发挥他们的创造力和自助学习的能力，并能锻炼其动手实践能力。通过此种教学方式，学生自助解决问题和综合考虑分析问题的能力得到提升，为今后步入社会参加工作打下了良好的基础。</w:t>
      </w:r>
    </w:p>
    <w:p>
      <w:pPr>
        <w:pageBreakBefore w:val="0"/>
        <w:kinsoku/>
        <w:wordWrap/>
        <w:overflowPunct/>
        <w:topLinePunct w:val="0"/>
        <w:autoSpaceDE/>
        <w:autoSpaceDN/>
        <w:bidi w:val="0"/>
        <w:adjustRightInd/>
        <w:snapToGrid/>
        <w:spacing w:line="480" w:lineRule="exact"/>
        <w:ind w:firstLine="562" w:firstLineChars="200"/>
        <w:jc w:val="left"/>
        <w:textAlignment w:val="auto"/>
        <w:rPr>
          <w:rFonts w:ascii="宋体" w:hAnsi="宋体" w:cs="宋体"/>
          <w:b/>
          <w:sz w:val="28"/>
          <w:szCs w:val="28"/>
        </w:rPr>
      </w:pPr>
      <w:r>
        <w:rPr>
          <w:rFonts w:hint="eastAsia" w:ascii="宋体" w:hAnsi="宋体" w:cs="宋体"/>
          <w:b/>
          <w:sz w:val="28"/>
          <w:szCs w:val="28"/>
        </w:rPr>
        <w:t>（五）学习评价</w:t>
      </w:r>
    </w:p>
    <w:p>
      <w:pPr>
        <w:pageBreakBefore w:val="0"/>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sz w:val="28"/>
          <w:szCs w:val="28"/>
        </w:rPr>
      </w:pPr>
      <w:r>
        <w:rPr>
          <w:rFonts w:hint="eastAsia" w:ascii="宋体" w:hAnsi="宋体"/>
          <w:color w:val="000000"/>
          <w:sz w:val="28"/>
          <w:szCs w:val="28"/>
        </w:rPr>
        <w:t>积极推进教学质量评价改革，健全多元化考核评价体系，突出能力考核评价方式，建立体现评价主体、评价方式、评价过程的多元化评价体系，积极吸纳企业、社会、家长参与学生的考核评价，通过多样式的考核方式，实现对学生专业技能和职业素养的综合评价，激发学生自主性学习，鼓励学生的个性发展以及培养其创新意识和创造能力。</w:t>
      </w:r>
    </w:p>
    <w:p>
      <w:pPr>
        <w:pageBreakBefore w:val="0"/>
        <w:kinsoku/>
        <w:wordWrap/>
        <w:overflowPunct/>
        <w:topLinePunct w:val="0"/>
        <w:autoSpaceDE/>
        <w:autoSpaceDN/>
        <w:bidi w:val="0"/>
        <w:adjustRightInd/>
        <w:snapToGrid/>
        <w:spacing w:line="480" w:lineRule="exact"/>
        <w:ind w:firstLine="562" w:firstLineChars="200"/>
        <w:jc w:val="left"/>
        <w:textAlignment w:val="auto"/>
        <w:rPr>
          <w:rFonts w:ascii="宋体" w:hAnsi="宋体"/>
          <w:b/>
          <w:bCs/>
          <w:color w:val="000000"/>
          <w:sz w:val="28"/>
          <w:szCs w:val="28"/>
        </w:rPr>
      </w:pPr>
      <w:r>
        <w:rPr>
          <w:rFonts w:hint="eastAsia" w:ascii="宋体" w:hAnsi="宋体"/>
          <w:b/>
          <w:bCs/>
          <w:color w:val="000000"/>
          <w:sz w:val="28"/>
          <w:szCs w:val="28"/>
        </w:rPr>
        <w:t>1.评价主体多元化</w:t>
      </w:r>
    </w:p>
    <w:p>
      <w:pPr>
        <w:pageBreakBefore w:val="0"/>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sz w:val="28"/>
          <w:szCs w:val="28"/>
        </w:rPr>
      </w:pPr>
      <w:r>
        <w:rPr>
          <w:rFonts w:hint="eastAsia" w:ascii="宋体" w:hAnsi="宋体"/>
          <w:color w:val="000000"/>
          <w:sz w:val="28"/>
          <w:szCs w:val="28"/>
        </w:rPr>
        <w:t>由单一的教师评价转化为学生自评、组员互评、教师评价、企业评价、社会评价、家长评价等。</w:t>
      </w:r>
    </w:p>
    <w:p>
      <w:pPr>
        <w:pageBreakBefore w:val="0"/>
        <w:kinsoku/>
        <w:wordWrap/>
        <w:overflowPunct/>
        <w:topLinePunct w:val="0"/>
        <w:autoSpaceDE/>
        <w:autoSpaceDN/>
        <w:bidi w:val="0"/>
        <w:adjustRightInd/>
        <w:snapToGrid/>
        <w:spacing w:line="480" w:lineRule="exact"/>
        <w:ind w:firstLine="562" w:firstLineChars="200"/>
        <w:jc w:val="left"/>
        <w:textAlignment w:val="auto"/>
        <w:rPr>
          <w:rFonts w:ascii="宋体" w:hAnsi="宋体"/>
          <w:b/>
          <w:bCs/>
          <w:color w:val="000000"/>
          <w:sz w:val="28"/>
          <w:szCs w:val="28"/>
        </w:rPr>
      </w:pPr>
      <w:r>
        <w:rPr>
          <w:rFonts w:hint="eastAsia" w:ascii="宋体" w:hAnsi="宋体"/>
          <w:b/>
          <w:bCs/>
          <w:color w:val="000000"/>
          <w:sz w:val="28"/>
          <w:szCs w:val="28"/>
        </w:rPr>
        <w:t>2.评价方式多元化</w:t>
      </w:r>
    </w:p>
    <w:p>
      <w:pPr>
        <w:pageBreakBefore w:val="0"/>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sz w:val="28"/>
          <w:szCs w:val="28"/>
        </w:rPr>
      </w:pPr>
      <w:r>
        <w:rPr>
          <w:rFonts w:hint="eastAsia" w:ascii="宋体" w:hAnsi="宋体"/>
          <w:color w:val="000000"/>
          <w:sz w:val="28"/>
          <w:szCs w:val="28"/>
        </w:rPr>
        <w:t>由单一的考试评价转化为笔试、实践技能考核、职业资格鉴定、技能竞赛等多种方式相结合。由注重终结性评价转变为过程评价和终结性评价相结合，注重实践性引导，过程评价以鼓励为主。</w:t>
      </w:r>
    </w:p>
    <w:p>
      <w:pPr>
        <w:pageBreakBefore w:val="0"/>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sz w:val="28"/>
          <w:szCs w:val="28"/>
        </w:rPr>
      </w:pPr>
      <w:r>
        <w:rPr>
          <w:rFonts w:hint="eastAsia" w:ascii="宋体" w:hAnsi="宋体"/>
          <w:color w:val="000000"/>
          <w:sz w:val="28"/>
          <w:szCs w:val="28"/>
        </w:rPr>
        <w:t>（1）笔试：适用于理论性比较强的课程。考核成绩采用百分制，该门课程不合格，不能取得相应学分。</w:t>
      </w:r>
    </w:p>
    <w:p>
      <w:pPr>
        <w:pageBreakBefore w:val="0"/>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sz w:val="28"/>
          <w:szCs w:val="28"/>
        </w:rPr>
      </w:pPr>
      <w:r>
        <w:rPr>
          <w:rFonts w:hint="eastAsia" w:ascii="宋体" w:hAnsi="宋体"/>
          <w:color w:val="000000"/>
          <w:sz w:val="28"/>
          <w:szCs w:val="28"/>
        </w:rPr>
        <w:t>（2）实践技能考核：适用于实践性比较强的课程。实践技能考核应根据教学目标要求，确定主要考核项目。</w:t>
      </w:r>
    </w:p>
    <w:p>
      <w:pPr>
        <w:pageBreakBefore w:val="0"/>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sz w:val="28"/>
          <w:szCs w:val="28"/>
        </w:rPr>
      </w:pPr>
      <w:r>
        <w:rPr>
          <w:rFonts w:hint="eastAsia" w:ascii="宋体" w:hAnsi="宋体"/>
          <w:color w:val="000000"/>
          <w:sz w:val="28"/>
          <w:szCs w:val="28"/>
        </w:rPr>
        <w:t>（3）项目实施技能考核：综合实训主要是通过项目开展的，考核旨在评价学生综合专业技能掌握的情况及工作态度及团队合作能力，因而通常采取项目实施过程考核与实践技能考核相结合进行综合评价。</w:t>
      </w:r>
    </w:p>
    <w:p>
      <w:pPr>
        <w:pageBreakBefore w:val="0"/>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sz w:val="28"/>
          <w:szCs w:val="28"/>
        </w:rPr>
      </w:pPr>
      <w:r>
        <w:rPr>
          <w:rFonts w:hint="eastAsia" w:ascii="宋体" w:hAnsi="宋体"/>
          <w:color w:val="000000"/>
          <w:sz w:val="28"/>
          <w:szCs w:val="28"/>
        </w:rPr>
        <w:t>（4）岗位绩效考核：在企业中开设的课程，如顶岗实习等，由企业与学校进行共同考核，企业考核主要以企业对学生的岗位工作执行情况进行绩效考核。</w:t>
      </w:r>
    </w:p>
    <w:p>
      <w:pPr>
        <w:pageBreakBefore w:val="0"/>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sz w:val="28"/>
          <w:szCs w:val="28"/>
        </w:rPr>
      </w:pPr>
      <w:r>
        <w:rPr>
          <w:rFonts w:hint="eastAsia" w:ascii="宋体" w:hAnsi="宋体"/>
          <w:color w:val="000000"/>
          <w:sz w:val="28"/>
          <w:szCs w:val="28"/>
        </w:rPr>
        <w:t>（5）职业资格技能鉴定：本专业引入了职业资格鉴定来评价学生的职业能力，学生参加职业资格认证考核，获得的认证作为学生评价标准。</w:t>
      </w:r>
    </w:p>
    <w:p>
      <w:pPr>
        <w:pageBreakBefore w:val="0"/>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sz w:val="28"/>
          <w:szCs w:val="28"/>
        </w:rPr>
      </w:pPr>
      <w:r>
        <w:rPr>
          <w:rFonts w:hint="eastAsia" w:ascii="宋体" w:hAnsi="宋体"/>
          <w:color w:val="000000"/>
          <w:sz w:val="28"/>
          <w:szCs w:val="28"/>
        </w:rPr>
        <w:t>（6）技能竞赛：积极参加福建省、莆田市及学校组织的各项专业技能竞赛，根据竞赛所取得的成绩作为学生评价标准。</w:t>
      </w:r>
    </w:p>
    <w:p>
      <w:pPr>
        <w:pageBreakBefore w:val="0"/>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sz w:val="28"/>
          <w:szCs w:val="28"/>
        </w:rPr>
      </w:pPr>
      <w:r>
        <w:rPr>
          <w:rFonts w:hint="eastAsia" w:ascii="宋体" w:hAnsi="宋体"/>
          <w:color w:val="000000"/>
          <w:sz w:val="28"/>
          <w:szCs w:val="28"/>
        </w:rPr>
        <w:t>3.评价过程多元化</w:t>
      </w:r>
    </w:p>
    <w:p>
      <w:pPr>
        <w:pageBreakBefore w:val="0"/>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sz w:val="28"/>
          <w:szCs w:val="28"/>
        </w:rPr>
      </w:pPr>
      <w:r>
        <w:rPr>
          <w:rFonts w:hint="eastAsia" w:ascii="宋体" w:hAnsi="宋体"/>
          <w:color w:val="000000"/>
          <w:sz w:val="28"/>
          <w:szCs w:val="28"/>
        </w:rPr>
        <w:t>应该由原先只注重知识评价的局面转变为知识、技能、态度并重。特别指出，态度评价应引导学生形成良好的职业精神。</w:t>
      </w:r>
    </w:p>
    <w:p>
      <w:pPr>
        <w:pageBreakBefore w:val="0"/>
        <w:kinsoku/>
        <w:wordWrap/>
        <w:overflowPunct/>
        <w:topLinePunct w:val="0"/>
        <w:autoSpaceDE/>
        <w:autoSpaceDN/>
        <w:bidi w:val="0"/>
        <w:adjustRightInd/>
        <w:snapToGrid/>
        <w:spacing w:line="480" w:lineRule="exact"/>
        <w:ind w:firstLine="562" w:firstLineChars="200"/>
        <w:jc w:val="left"/>
        <w:textAlignment w:val="auto"/>
        <w:rPr>
          <w:rFonts w:ascii="宋体" w:hAnsi="宋体" w:cs="宋体"/>
          <w:b/>
          <w:sz w:val="28"/>
          <w:szCs w:val="28"/>
        </w:rPr>
      </w:pPr>
      <w:r>
        <w:rPr>
          <w:rFonts w:hint="eastAsia" w:ascii="宋体" w:hAnsi="宋体" w:cs="宋体"/>
          <w:b/>
          <w:sz w:val="28"/>
          <w:szCs w:val="28"/>
        </w:rPr>
        <w:t>（六）质量管理</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color w:val="171717"/>
          <w:kern w:val="0"/>
          <w:sz w:val="28"/>
          <w:szCs w:val="28"/>
        </w:rPr>
      </w:pPr>
      <w:r>
        <w:rPr>
          <w:rFonts w:hint="eastAsia" w:ascii="宋体" w:hAnsi="宋体" w:cs="宋体"/>
          <w:color w:val="171717"/>
          <w:kern w:val="0"/>
          <w:sz w:val="28"/>
          <w:szCs w:val="28"/>
        </w:rPr>
        <w:t>教学管理要更新观念，改变传统的教学管理方式。教学管理要有一定的规范性和灵活性，可实行工学交替等弹性学制。要合理调配专业教师、专业实训场地等教学资源，结合实际落实专业教学标准，为课程的实施创造重要条件；要加强对教学过程的质量监控，改革教学评论的标准和方法，促进教师教学能力的提升，保证教学质量。建立由行业企业专家、教科研人员、一线教师、学生（毕业生）代表组成的专业建设指导委员会，定期修订人才培养方案。加强制度建设，逐步建立科学的教学管理机制，提高教学质量。</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color w:val="171717"/>
          <w:kern w:val="0"/>
          <w:sz w:val="28"/>
          <w:szCs w:val="28"/>
        </w:rPr>
      </w:pPr>
      <w:r>
        <w:rPr>
          <w:rFonts w:hint="eastAsia" w:ascii="宋体" w:hAnsi="宋体" w:cs="宋体"/>
          <w:color w:val="171717"/>
          <w:kern w:val="0"/>
          <w:sz w:val="28"/>
          <w:szCs w:val="28"/>
        </w:rPr>
        <w:t>加强质量管理体系建设，重视过程监控，逐步完善以学校为核心、教育行政部门为主导，社会和企业积极参与的教学质量保障体系。重点是配合人才培养模式和工作过程系统化课程体系，创建以能力为核心、以过程为重点的学习绩效考核评价体系。在构建评价指标体系的过程中，要深入企业，对本专业所对应的职业岗位职责及知识、能力和技能要求进行细致的调研与分析，分解知识与能力的考核要素，吸纳用人单位专家参与教学质量评价，确保学生职业能力培养的质量。</w:t>
      </w:r>
    </w:p>
    <w:p>
      <w:pPr>
        <w:pStyle w:val="3"/>
        <w:pageBreakBefore w:val="0"/>
        <w:kinsoku/>
        <w:wordWrap/>
        <w:overflowPunct/>
        <w:topLinePunct w:val="0"/>
        <w:autoSpaceDE/>
        <w:autoSpaceDN/>
        <w:bidi w:val="0"/>
        <w:adjustRightInd/>
        <w:snapToGrid/>
        <w:spacing w:after="0" w:line="480" w:lineRule="exact"/>
        <w:ind w:firstLine="562" w:firstLineChars="200"/>
        <w:jc w:val="left"/>
        <w:textAlignment w:val="auto"/>
        <w:outlineLvl w:val="0"/>
        <w:rPr>
          <w:rFonts w:ascii="黑体" w:hAnsi="黑体" w:eastAsia="黑体"/>
          <w:b/>
          <w:bCs w:val="0"/>
          <w:sz w:val="28"/>
          <w:szCs w:val="28"/>
        </w:rPr>
      </w:pPr>
      <w:bookmarkStart w:id="12" w:name="_Toc14055"/>
      <w:r>
        <w:rPr>
          <w:rFonts w:hint="eastAsia" w:ascii="黑体" w:hAnsi="黑体" w:eastAsia="黑体"/>
          <w:b/>
          <w:bCs w:val="0"/>
          <w:sz w:val="28"/>
          <w:szCs w:val="28"/>
        </w:rPr>
        <w:t>九、毕业要求</w:t>
      </w:r>
      <w:bookmarkEnd w:id="12"/>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sz w:val="28"/>
          <w:szCs w:val="28"/>
        </w:rPr>
      </w:pPr>
      <w:r>
        <w:rPr>
          <w:rFonts w:ascii="宋体" w:hAnsi="宋体"/>
          <w:sz w:val="28"/>
          <w:szCs w:val="28"/>
        </w:rPr>
        <w:t>毕业要求，是对专业学生毕业时所应具有的素质、知识、能力达成度检验的标准。</w:t>
      </w:r>
      <w:r>
        <w:rPr>
          <w:rFonts w:hint="eastAsia" w:ascii="宋体" w:hAnsi="宋体"/>
          <w:sz w:val="28"/>
          <w:szCs w:val="28"/>
        </w:rPr>
        <w:t>以下</w:t>
      </w:r>
      <w:r>
        <w:rPr>
          <w:rFonts w:ascii="宋体" w:hAnsi="宋体"/>
          <w:sz w:val="28"/>
          <w:szCs w:val="28"/>
        </w:rPr>
        <w:t>毕业要求</w:t>
      </w:r>
      <w:r>
        <w:rPr>
          <w:rFonts w:hint="eastAsia" w:ascii="宋体" w:hAnsi="宋体"/>
          <w:sz w:val="28"/>
          <w:szCs w:val="28"/>
        </w:rPr>
        <w:t>是</w:t>
      </w:r>
      <w:r>
        <w:rPr>
          <w:rFonts w:ascii="宋体" w:hAnsi="宋体"/>
          <w:sz w:val="28"/>
          <w:szCs w:val="28"/>
        </w:rPr>
        <w:t>依照教育部颁布的《专业教学标准》</w:t>
      </w:r>
      <w:r>
        <w:rPr>
          <w:rFonts w:hint="eastAsia" w:ascii="宋体" w:hAnsi="宋体"/>
          <w:sz w:val="28"/>
          <w:szCs w:val="28"/>
        </w:rPr>
        <w:t>及莆田市教育局和我校</w:t>
      </w:r>
      <w:r>
        <w:rPr>
          <w:rFonts w:ascii="宋体" w:hAnsi="宋体"/>
          <w:sz w:val="28"/>
          <w:szCs w:val="28"/>
        </w:rPr>
        <w:t>专业自身特点制定</w:t>
      </w:r>
      <w:r>
        <w:rPr>
          <w:rFonts w:hint="eastAsia" w:ascii="宋体" w:hAnsi="宋体"/>
          <w:sz w:val="28"/>
          <w:szCs w:val="28"/>
        </w:rPr>
        <w:t>的</w:t>
      </w:r>
      <w:r>
        <w:rPr>
          <w:rFonts w:ascii="宋体" w:hAnsi="宋体"/>
          <w:sz w:val="28"/>
          <w:szCs w:val="28"/>
        </w:rPr>
        <w:t>，能够支撑该专业培养目标的达成。</w:t>
      </w:r>
      <w:r>
        <w:rPr>
          <w:rFonts w:hint="eastAsia" w:ascii="宋体" w:hAnsi="宋体"/>
          <w:sz w:val="28"/>
          <w:szCs w:val="28"/>
        </w:rPr>
        <w:t>本</w:t>
      </w:r>
      <w:r>
        <w:rPr>
          <w:rFonts w:ascii="宋体" w:hAnsi="宋体"/>
          <w:sz w:val="28"/>
          <w:szCs w:val="28"/>
        </w:rPr>
        <w:t>专业毕业要求既是实现培养目标的保证，又是专业构建素质、知识、能力结构，形成课程体系和开展教学活动的基本依据。所以，本专业的毕业要求</w:t>
      </w:r>
      <w:r>
        <w:rPr>
          <w:rFonts w:hint="eastAsia" w:ascii="宋体" w:hAnsi="宋体"/>
          <w:sz w:val="28"/>
          <w:szCs w:val="28"/>
        </w:rPr>
        <w:t>各项目可</w:t>
      </w:r>
      <w:r>
        <w:rPr>
          <w:rFonts w:ascii="宋体" w:hAnsi="宋体"/>
          <w:sz w:val="28"/>
          <w:szCs w:val="28"/>
        </w:rPr>
        <w:t>细化为可落实、可评价、有逻辑性和专业特点的指标点，</w:t>
      </w:r>
      <w:r>
        <w:rPr>
          <w:rFonts w:hint="eastAsia" w:ascii="宋体" w:hAnsi="宋体"/>
          <w:sz w:val="28"/>
          <w:szCs w:val="28"/>
        </w:rPr>
        <w:t>能</w:t>
      </w:r>
      <w:r>
        <w:rPr>
          <w:rFonts w:ascii="宋体" w:hAnsi="宋体"/>
          <w:sz w:val="28"/>
          <w:szCs w:val="28"/>
        </w:rPr>
        <w:t>引导教师有针对性地教学，引导学生有目的地学习。</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sz w:val="28"/>
          <w:szCs w:val="28"/>
        </w:rPr>
      </w:pPr>
      <w:r>
        <w:rPr>
          <w:rFonts w:hint="eastAsia" w:ascii="宋体" w:hAnsi="宋体"/>
          <w:sz w:val="28"/>
          <w:szCs w:val="28"/>
        </w:rPr>
        <w:t>各项目要求指标如下表所示：</w:t>
      </w:r>
    </w:p>
    <w:tbl>
      <w:tblPr>
        <w:tblStyle w:val="9"/>
        <w:tblW w:w="9054" w:type="dxa"/>
        <w:tblInd w:w="93" w:type="dxa"/>
        <w:tblLayout w:type="fixed"/>
        <w:tblCellMar>
          <w:top w:w="0" w:type="dxa"/>
          <w:left w:w="108" w:type="dxa"/>
          <w:bottom w:w="0" w:type="dxa"/>
          <w:right w:w="108" w:type="dxa"/>
        </w:tblCellMar>
      </w:tblPr>
      <w:tblGrid>
        <w:gridCol w:w="1080"/>
        <w:gridCol w:w="7974"/>
      </w:tblGrid>
      <w:tr>
        <w:tblPrEx>
          <w:tblCellMar>
            <w:top w:w="0" w:type="dxa"/>
            <w:left w:w="108" w:type="dxa"/>
            <w:bottom w:w="0" w:type="dxa"/>
            <w:right w:w="108" w:type="dxa"/>
          </w:tblCellMar>
        </w:tblPrEx>
        <w:trPr>
          <w:trHeight w:val="831" w:hRule="atLeast"/>
        </w:trPr>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7974"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  目  要  求</w:t>
            </w:r>
          </w:p>
        </w:tc>
      </w:tr>
      <w:tr>
        <w:tblPrEx>
          <w:tblCellMar>
            <w:top w:w="0" w:type="dxa"/>
            <w:left w:w="108" w:type="dxa"/>
            <w:bottom w:w="0" w:type="dxa"/>
            <w:right w:w="108" w:type="dxa"/>
          </w:tblCellMar>
        </w:tblPrEx>
        <w:trPr>
          <w:trHeight w:val="831"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974"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按学校规定参加入学训练并得到相应的2学分</w:t>
            </w:r>
          </w:p>
        </w:tc>
      </w:tr>
      <w:tr>
        <w:tblPrEx>
          <w:tblCellMar>
            <w:top w:w="0" w:type="dxa"/>
            <w:left w:w="108" w:type="dxa"/>
            <w:bottom w:w="0" w:type="dxa"/>
            <w:right w:w="108" w:type="dxa"/>
          </w:tblCellMar>
        </w:tblPrEx>
        <w:trPr>
          <w:trHeight w:val="831"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7974"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按学校要求参加劳动并得到相应的3学分</w:t>
            </w:r>
          </w:p>
        </w:tc>
      </w:tr>
      <w:tr>
        <w:tblPrEx>
          <w:tblCellMar>
            <w:top w:w="0" w:type="dxa"/>
            <w:left w:w="108" w:type="dxa"/>
            <w:bottom w:w="0" w:type="dxa"/>
            <w:right w:w="108" w:type="dxa"/>
          </w:tblCellMar>
        </w:tblPrEx>
        <w:trPr>
          <w:trHeight w:val="831"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7974"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在学期间参加不少于3次的志愿者服务活动</w:t>
            </w:r>
          </w:p>
        </w:tc>
      </w:tr>
      <w:tr>
        <w:tblPrEx>
          <w:tblCellMar>
            <w:top w:w="0" w:type="dxa"/>
            <w:left w:w="108" w:type="dxa"/>
            <w:bottom w:w="0" w:type="dxa"/>
            <w:right w:w="108" w:type="dxa"/>
          </w:tblCellMar>
        </w:tblPrEx>
        <w:trPr>
          <w:trHeight w:val="831"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7974"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完成福建省中职学生学业水平合格性考试成绩达到D级及以上，或在学校组织的补考中达到60分及以上。</w:t>
            </w:r>
          </w:p>
        </w:tc>
      </w:tr>
      <w:tr>
        <w:tblPrEx>
          <w:tblCellMar>
            <w:top w:w="0" w:type="dxa"/>
            <w:left w:w="108" w:type="dxa"/>
            <w:bottom w:w="0" w:type="dxa"/>
            <w:right w:w="108" w:type="dxa"/>
          </w:tblCellMar>
        </w:tblPrEx>
        <w:trPr>
          <w:trHeight w:val="831"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7974"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专业技能课考试达到60分及以上。</w:t>
            </w:r>
          </w:p>
        </w:tc>
      </w:tr>
      <w:tr>
        <w:tblPrEx>
          <w:tblCellMar>
            <w:top w:w="0" w:type="dxa"/>
            <w:left w:w="108" w:type="dxa"/>
            <w:bottom w:w="0" w:type="dxa"/>
            <w:right w:w="108" w:type="dxa"/>
          </w:tblCellMar>
        </w:tblPrEx>
        <w:trPr>
          <w:trHeight w:val="831"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7974"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至少取得专业人才培养方案要求的1项职业技能等级证书，或参加省级及以上技能竞赛获得三等奖以上的成绩。</w:t>
            </w:r>
          </w:p>
        </w:tc>
      </w:tr>
      <w:tr>
        <w:tblPrEx>
          <w:tblCellMar>
            <w:top w:w="0" w:type="dxa"/>
            <w:left w:w="108" w:type="dxa"/>
            <w:bottom w:w="0" w:type="dxa"/>
            <w:right w:w="108" w:type="dxa"/>
          </w:tblCellMar>
        </w:tblPrEx>
        <w:trPr>
          <w:trHeight w:val="831"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7974"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完成规定的顶岗实习和毕业实习。</w:t>
            </w:r>
          </w:p>
        </w:tc>
      </w:tr>
      <w:tr>
        <w:tblPrEx>
          <w:tblCellMar>
            <w:top w:w="0" w:type="dxa"/>
            <w:left w:w="108" w:type="dxa"/>
            <w:bottom w:w="0" w:type="dxa"/>
            <w:right w:w="108" w:type="dxa"/>
          </w:tblCellMar>
        </w:tblPrEx>
        <w:trPr>
          <w:trHeight w:val="831" w:hRule="atLeast"/>
        </w:trPr>
        <w:tc>
          <w:tcPr>
            <w:tcW w:w="1080"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7974"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总学分达170分及以上</w:t>
            </w:r>
          </w:p>
        </w:tc>
      </w:tr>
    </w:tbl>
    <w:p>
      <w:pPr>
        <w:pStyle w:val="3"/>
        <w:spacing w:after="0" w:line="560" w:lineRule="exact"/>
        <w:ind w:firstLine="562" w:firstLineChars="200"/>
        <w:jc w:val="left"/>
        <w:outlineLvl w:val="0"/>
        <w:rPr>
          <w:rFonts w:hint="eastAsia" w:eastAsia="宋体"/>
          <w:lang w:eastAsia="zh-CN"/>
        </w:rPr>
      </w:pPr>
      <w:bookmarkStart w:id="13" w:name="_Toc25910"/>
      <w:r>
        <w:rPr>
          <w:rFonts w:hint="eastAsia" w:ascii="黑体" w:hAnsi="黑体" w:eastAsia="黑体"/>
          <w:b/>
          <w:bCs w:val="0"/>
          <w:color w:val="auto"/>
          <w:sz w:val="28"/>
          <w:szCs w:val="28"/>
          <w:lang w:val="en-US" w:eastAsia="zh-CN"/>
        </w:rPr>
        <w:t>十、</w:t>
      </w:r>
      <w:r>
        <w:rPr>
          <w:rFonts w:hint="eastAsia" w:ascii="黑体" w:hAnsi="黑体" w:eastAsia="黑体"/>
          <w:b/>
          <w:bCs w:val="0"/>
          <w:color w:val="auto"/>
          <w:sz w:val="28"/>
          <w:szCs w:val="28"/>
        </w:rPr>
        <w:t>附录</w:t>
      </w:r>
      <w:bookmarkEnd w:id="13"/>
    </w:p>
    <w:p>
      <w:pPr>
        <w:widowControl/>
        <w:adjustRightInd w:val="0"/>
        <w:snapToGrid w:val="0"/>
        <w:spacing w:before="624" w:beforeLines="200" w:after="624" w:afterLines="200" w:line="240" w:lineRule="atLeast"/>
        <w:jc w:val="center"/>
        <w:rPr>
          <w:rFonts w:hint="eastAsia" w:eastAsia="宋体"/>
          <w:lang w:eastAsia="zh-CN"/>
        </w:rPr>
      </w:pPr>
      <w:r>
        <w:rPr>
          <w:rFonts w:hint="eastAsia" w:eastAsia="宋体"/>
          <w:lang w:eastAsia="zh-CN"/>
        </w:rPr>
        <w:drawing>
          <wp:inline distT="0" distB="0" distL="114300" distR="114300">
            <wp:extent cx="5272405" cy="6477635"/>
            <wp:effectExtent l="0" t="0" r="4445" b="18415"/>
            <wp:docPr id="11" name="图片 11" descr="1653096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53096325(1)"/>
                    <pic:cNvPicPr>
                      <a:picLocks noChangeAspect="1"/>
                    </pic:cNvPicPr>
                  </pic:nvPicPr>
                  <pic:blipFill>
                    <a:blip r:embed="rId13"/>
                    <a:stretch>
                      <a:fillRect/>
                    </a:stretch>
                  </pic:blipFill>
                  <pic:spPr>
                    <a:xfrm>
                      <a:off x="0" y="0"/>
                      <a:ext cx="5272405" cy="6477635"/>
                    </a:xfrm>
                    <a:prstGeom prst="rect">
                      <a:avLst/>
                    </a:prstGeom>
                  </pic:spPr>
                </pic:pic>
              </a:graphicData>
            </a:graphic>
          </wp:inline>
        </w:drawing>
      </w: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Adobe 宋体 Std L">
    <w:altName w:val="宋体"/>
    <w:panose1 w:val="020203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rPr>
        <w:rFonts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rPr>
        <w:rFonts w:ascii="宋体" w:hAnsi="宋体"/>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rPr>
        <w:rFonts w:ascii="宋体" w:hAnsi="宋体"/>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98425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lang w:val="en-US"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val="en-US" w:eastAsia="zh-CN"/>
                            </w:rPr>
                            <w:t xml:space="preserve"> 页/共 29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65408;mso-width-relative:page;mso-height-relative:page;" filled="f" stroked="f" coordsize="21600,21600" o:gfxdata="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ii0F9MAAAAFAQAADwAAAAAAAAABACAAAAAiAAAAZHJzL2Rvd25yZXYueG1s&#10;UEsBAhQAFAAAAAgAh07iQDs0QsI2AgAAZAQAAA4AAAAAAAAAAQAgAAAAIgEAAGRycy9lMm9Eb2Mu&#10;eG1sUEsFBgAAAAAGAAYAWQEAAMoFAAAAAA==&#10;">
              <v:fill on="f" focussize="0,0"/>
              <v:stroke on="f" weight="0.5pt"/>
              <v:imagedata o:title=""/>
              <o:lock v:ext="edit" aspectratio="f"/>
              <v:textbox inset="0mm,0mm,0mm,0mm" style="mso-fit-shape-to-text:t;">
                <w:txbxContent>
                  <w:p>
                    <w:pPr>
                      <w:pStyle w:val="6"/>
                    </w:pPr>
                    <w:r>
                      <w:rPr>
                        <w:rFonts w:hint="eastAsia"/>
                        <w:lang w:val="en-US"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val="en-US" w:eastAsia="zh-CN"/>
                      </w:rPr>
                      <w:t xml:space="preserve"> 页/共 29 页</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BC937"/>
    <w:multiLevelType w:val="singleLevel"/>
    <w:tmpl w:val="805BC937"/>
    <w:lvl w:ilvl="0" w:tentative="0">
      <w:start w:val="1"/>
      <w:numFmt w:val="decimal"/>
      <w:lvlText w:val="%1."/>
      <w:lvlJc w:val="left"/>
      <w:pPr>
        <w:tabs>
          <w:tab w:val="left" w:pos="312"/>
        </w:tabs>
      </w:pPr>
    </w:lvl>
  </w:abstractNum>
  <w:abstractNum w:abstractNumId="1">
    <w:nsid w:val="82E0EC95"/>
    <w:multiLevelType w:val="singleLevel"/>
    <w:tmpl w:val="82E0EC95"/>
    <w:lvl w:ilvl="0" w:tentative="0">
      <w:start w:val="1"/>
      <w:numFmt w:val="chineseCounting"/>
      <w:suff w:val="nothing"/>
      <w:lvlText w:val="（%1）"/>
      <w:lvlJc w:val="left"/>
      <w:rPr>
        <w:rFonts w:hint="eastAsia"/>
      </w:rPr>
    </w:lvl>
  </w:abstractNum>
  <w:abstractNum w:abstractNumId="2">
    <w:nsid w:val="A088E3F9"/>
    <w:multiLevelType w:val="singleLevel"/>
    <w:tmpl w:val="A088E3F9"/>
    <w:lvl w:ilvl="0" w:tentative="0">
      <w:start w:val="1"/>
      <w:numFmt w:val="decimal"/>
      <w:suff w:val="nothing"/>
      <w:lvlText w:val="（%1）"/>
      <w:lvlJc w:val="left"/>
    </w:lvl>
  </w:abstractNum>
  <w:abstractNum w:abstractNumId="3">
    <w:nsid w:val="0D83960A"/>
    <w:multiLevelType w:val="singleLevel"/>
    <w:tmpl w:val="0D83960A"/>
    <w:lvl w:ilvl="0" w:tentative="0">
      <w:start w:val="1"/>
      <w:numFmt w:val="decimal"/>
      <w:suff w:val="nothing"/>
      <w:lvlText w:val="（%1）"/>
      <w:lvlJc w:val="left"/>
    </w:lvl>
  </w:abstractNum>
  <w:abstractNum w:abstractNumId="4">
    <w:nsid w:val="6293918D"/>
    <w:multiLevelType w:val="singleLevel"/>
    <w:tmpl w:val="6293918D"/>
    <w:lvl w:ilvl="0" w:tentative="0">
      <w:start w:val="6"/>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N2EwNDE0Zjk5ZjcyNzhjOTI3Y2JkZGExNGE0YWUifQ=="/>
  </w:docVars>
  <w:rsids>
    <w:rsidRoot w:val="03235C93"/>
    <w:rsid w:val="01FC05C7"/>
    <w:rsid w:val="03235C93"/>
    <w:rsid w:val="070558FC"/>
    <w:rsid w:val="0A051A16"/>
    <w:rsid w:val="153E386A"/>
    <w:rsid w:val="162B5056"/>
    <w:rsid w:val="1DC06250"/>
    <w:rsid w:val="255938B0"/>
    <w:rsid w:val="25911B03"/>
    <w:rsid w:val="261E03DA"/>
    <w:rsid w:val="2A14718B"/>
    <w:rsid w:val="2D8C2AA2"/>
    <w:rsid w:val="2EB242A6"/>
    <w:rsid w:val="40950B5F"/>
    <w:rsid w:val="4727183D"/>
    <w:rsid w:val="53FC752F"/>
    <w:rsid w:val="58BC2CA0"/>
    <w:rsid w:val="5E8429B5"/>
    <w:rsid w:val="60441B64"/>
    <w:rsid w:val="631F6EAA"/>
    <w:rsid w:val="67AD6DF0"/>
    <w:rsid w:val="71434382"/>
    <w:rsid w:val="7DEA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after="60" w:line="550" w:lineRule="exact"/>
      <w:jc w:val="center"/>
      <w:outlineLvl w:val="0"/>
    </w:pPr>
    <w:rPr>
      <w:rFonts w:eastAsia="方正小标宋简体"/>
      <w:bCs/>
      <w:kern w:val="44"/>
      <w:sz w:val="36"/>
      <w:szCs w:val="44"/>
    </w:rPr>
  </w:style>
  <w:style w:type="paragraph" w:styleId="4">
    <w:name w:val="heading 4"/>
    <w:basedOn w:val="1"/>
    <w:next w:val="1"/>
    <w:qFormat/>
    <w:uiPriority w:val="0"/>
    <w:pPr>
      <w:keepNext/>
      <w:keepLines/>
      <w:spacing w:line="500" w:lineRule="exact"/>
      <w:ind w:firstLine="200" w:firstLineChars="200"/>
      <w:outlineLvl w:val="3"/>
    </w:pPr>
    <w:rPr>
      <w:rFonts w:ascii="宋体" w:hAnsi="Adobe 宋体 Std L"/>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rPr>
  </w:style>
  <w:style w:type="paragraph" w:styleId="5">
    <w:name w:val="Plain Text"/>
    <w:qFormat/>
    <w:uiPriority w:val="0"/>
    <w:rPr>
      <w:rFonts w:ascii="宋体" w:hAnsi="Courier New" w:eastAsia="宋体" w:cs="Times New Roman"/>
      <w:kern w:val="2"/>
      <w:sz w:val="24"/>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14520</Words>
  <Characters>14988</Characters>
  <Lines>0</Lines>
  <Paragraphs>0</Paragraphs>
  <TotalTime>0</TotalTime>
  <ScaleCrop>false</ScaleCrop>
  <LinksUpToDate>false</LinksUpToDate>
  <CharactersWithSpaces>15246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2022-03-23T01:17:00Z</dcterms:created>
  <dc:creator>苏丽英</dc:creator>
  <cp:lastModifiedBy>宁静致远</cp:lastModifiedBy>
  <dcterms:modified xsi:type="dcterms:W3CDTF">2022-05-25T02:04:54Z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20C28DF91D4E4E01BB0445A97BDA085C</vt:lpwstr>
  </property>
</Properties>
</file>